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Qualification</w:t>
      </w:r>
      <w:r>
        <w:t xml:space="preserve"> </w:t>
      </w:r>
      <w:r>
        <w:t xml:space="preserve">of</w:t>
      </w:r>
      <w:r>
        <w:t xml:space="preserve"> </w:t>
      </w:r>
      <w:r>
        <w:t xml:space="preserve">CKD</w:t>
      </w:r>
      <w:r>
        <w:t xml:space="preserve"> </w:t>
      </w:r>
      <w:r>
        <w:t xml:space="preserve">Populations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2.2-OSP12.0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1.0</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https://github.com/Open-Systems-Pharmacology/Qualification-CKD</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introduction" w:name="introduction"/>
      <w:bookmarkEnd w:id="introduction"/>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BodyText"/>
      </w:pPr>
      <w:r>
        <w:t xml:space="preserve">CKD is defined as a reduction in kidney function as approximated by the estimated glomerular filtration rate (eGFR) below 60 mL/min/1.73m</w:t>
      </w:r>
      <w:r>
        <w:rPr>
          <w:vertAlign w:val="superscript"/>
        </w:rPr>
        <w:t xml:space="preserve">2</w:t>
      </w:r>
      <w:r>
        <w:t xml:space="preserve"> </w:t>
      </w:r>
      <w:r>
        <w:t xml:space="preserve">for at least 3 months. CKD is a systemic and multifaceted disease that alters many body systems beyond the glomerular filtration rate. As summarized by Malik et al. (2020),</w:t>
      </w:r>
      <w:r>
        <w:rPr>
          <w:vertAlign w:val="superscript"/>
        </w:rP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BodyText"/>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BodyText"/>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bookmarkEnd w:id="20"/>
    <w:bookmarkStart w:id="27" w:name="ckd-population-development"/>
    <w:p>
      <w:pPr>
        <w:pStyle w:val="Heading1"/>
      </w:pPr>
      <w:r>
        <w:t xml:space="preserve">CKD Population Development</w:t>
      </w:r>
      <w:r>
        <w:t xml:space="preserve"> </w:t>
      </w:r>
      <w:bookmarkStart w:id="ckd_population_development" w:name="ckd_population_development"/>
      <w:bookmarkEnd w:id="ckd_population_development"/>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rPr>
          <w:vertAlign w:val="superscript"/>
        </w:rPr>
        <w:t xml:space="preserve">2</w:t>
      </w:r>
      <w:r>
        <w:t xml:space="preserve"> </w:t>
      </w:r>
      <w:r>
        <w:t xml:space="preserve">- including the effects of aging as appropriate - and modify the physiological parameters of the simulated individuals to replicate a realistic CKD phenotype. The details of this process are outlined in</w:t>
      </w:r>
      <w:r>
        <w:t xml:space="preserve"> </w:t>
      </w:r>
      <w:r>
        <w:rPr>
          <w:bCs/>
          <w:b/>
        </w:rPr>
        <w:t xml:space="preserve">Figure 2-2</w:t>
      </w:r>
      <w:r>
        <w:t xml:space="preserve">, with references to</w:t>
      </w:r>
      <w:r>
        <w:t xml:space="preserve"> </w:t>
      </w:r>
      <w:r>
        <w:rPr>
          <w:bCs/>
          <w:b/>
        </w:rPr>
        <w:t xml:space="preserve">Figure 2-1</w:t>
      </w:r>
      <w:r>
        <w:t xml:space="preserve">,</w:t>
      </w:r>
      <w:r>
        <w:t xml:space="preserve"> </w:t>
      </w:r>
      <w:r>
        <w:rPr>
          <w:bCs/>
          <w:b/>
        </w:rPr>
        <w:t xml:space="preserve">Table 2-1</w:t>
      </w:r>
      <w:r>
        <w:t xml:space="preserve"> </w:t>
      </w:r>
      <w:r>
        <w:t xml:space="preserve">and</w:t>
      </w:r>
      <w:r>
        <w:t xml:space="preserve"> </w:t>
      </w:r>
      <w:r>
        <w:rPr>
          <w:bCs/>
          <w:b/>
        </w:rPr>
        <w:t xml:space="preserve">Table 2-2</w:t>
      </w:r>
      <w:r>
        <w:t xml:space="preserve">. For a complete description, see Malik et al.</w:t>
      </w:r>
      <w:r>
        <w:rPr>
          <w:vertAlign w:val="superscript"/>
        </w:rPr>
        <w:t xml:space="preserve">1</w:t>
      </w:r>
    </w:p>
    <w:br w:type="page"/>
    <w:p>
      <w:pPr>
        <w:pStyle w:val="BodyText"/>
      </w:pPr>
      <w:bookmarkStart w:id="figure-2-1" w:name="figure-2-1"/>
      <w:bookmarkEnd w:id="figure-2-1"/>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_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2-1: Simulated kidney volumes (left) and simulated renal cortex perfusion rates (right) in a population of adults aged 30-70 years with varying degrees of renal impairment compared with observed data from the literature.</w:t>
            </w:r>
            <w:r>
              <w:rPr>
                <w:vertAlign w:val="superscript"/>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br w:type="page"/>
    <w:p>
      <w:pPr>
        <w:pStyle w:val="BodyText"/>
      </w:pPr>
      <w:bookmarkStart w:id="figure-2-2" w:name="figure-2-2"/>
      <w:bookmarkEnd w:id="figure-2-2"/>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_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2-2: Algorithm for generation of virtual individuals with CKD while accounting for the effects of aging</w:t>
            </w:r>
          </w:p>
        </w:tc>
      </w:tr>
    </w:tbl>
    <w:p>
      <w:pPr>
        <w:pStyle w:val="BodyText"/>
      </w:pPr>
      <w:r>
        <w:rPr>
          <w:bCs/>
          <w:b/>
        </w:rPr>
        <w:t xml:space="preserve">Table 2-1: Hematocrit in Patients With Chronic Kidney Disease^9, 10, 11^</w:t>
      </w:r>
    </w:p>
    <w:tbl>
      <w:tblPr>
        <w:tblStyle w:val="Table"/>
        <w:tblW w:type="pct" w:w="5000"/>
        <w:tblLook w:firstRow="1" w:lastRow="0" w:firstColumn="0" w:lastColumn="0" w:noHBand="0" w:noVBand="0" w:val="0020"/>
        <w:jc w:val="start"/>
      </w:tblPr>
      <w:tblGrid>
        <w:gridCol w:w="4802"/>
        <w:gridCol w:w="1516"/>
        <w:gridCol w:w="1600"/>
      </w:tblGrid>
      <w:tr>
        <w:trPr>
          <w:tblHeader w:val="true"/>
        </w:trPr>
        <w:tc>
          <w:tcPr/>
          <w:p>
            <w:pPr>
              <w:pStyle w:val="Compact"/>
              <w:jc w:val="left"/>
            </w:pPr>
            <w:r>
              <w:rPr>
                <w:bCs/>
                <w:b/>
              </w:rPr>
              <w:t xml:space="preserve">Creatinine Clearance (mL/min/1.73 m</w:t>
            </w:r>
            <w:r>
              <w:rPr>
                <w:vertAlign w:val="superscript"/>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pPr>
        <w:pStyle w:val="BodyText"/>
      </w:pPr>
      <w:r>
        <w:rPr>
          <w:bCs/>
          <w:b/>
        </w:rPr>
        <w:t xml:space="preserve">Table 2-2: Fraction of Healthy Values (Normal Coefficient of Variation % ) in Chronic Kidney Disease Patients by Stage</w:t>
      </w:r>
    </w:p>
    <w:tbl>
      <w:tblPr>
        <w:tblStyle w:val="Table"/>
        <w:tblW w:type="pct" w:w="5000"/>
        <w:tblLook w:firstRow="1" w:lastRow="0" w:firstColumn="0" w:lastColumn="0" w:noHBand="0" w:noVBand="0" w:val="0020"/>
        <w:jc w:val="start"/>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rPr>
                <w:vertAlign w:val="superscript"/>
              </w:rPr>
              <w:t xml:space="preserve">2</w:t>
            </w:r>
            <w:r>
              <w:t xml:space="preserve">)</w:t>
            </w:r>
          </w:p>
        </w:tc>
        <w:tc>
          <w:tcPr/>
          <w:p>
            <w:pPr>
              <w:pStyle w:val="Compact"/>
              <w:jc w:val="center"/>
            </w:pPr>
            <w:r>
              <w:t xml:space="preserve">Stage 4 (15-30 mL/min/1.73 m</w:t>
            </w:r>
            <w:r>
              <w:rPr>
                <w:vertAlign w:val="superscript"/>
              </w:rPr>
              <w:t xml:space="preserve">2</w:t>
            </w:r>
            <w:r>
              <w:t xml:space="preserve">)</w:t>
            </w:r>
          </w:p>
        </w:tc>
        <w:tc>
          <w:tcPr/>
          <w:p>
            <w:pPr>
              <w:pStyle w:val="Compact"/>
              <w:jc w:val="center"/>
            </w:pPr>
            <w:r>
              <w:t xml:space="preserve">Stage 5 (&lt;15 mL/min/1.73 m</w:t>
            </w:r>
            <w:r>
              <w:rPr>
                <w:vertAlign w:val="superscript"/>
              </w:rP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rPr>
                <w:vertAlign w:val="superscript"/>
              </w:rPr>
              <w:t xml:space="preserve">12</w:t>
            </w:r>
          </w:p>
        </w:tc>
        <w:tc>
          <w:tcPr/>
          <w:p>
            <w:pPr>
              <w:pStyle w:val="Compact"/>
              <w:jc w:val="center"/>
            </w:pPr>
            <w:r>
              <w:t xml:space="preserve">1.16</w:t>
            </w:r>
            <w:r>
              <w:rPr>
                <w:vertAlign w:val="superscript"/>
              </w:rPr>
              <w:t xml:space="preserve">12</w:t>
            </w:r>
          </w:p>
        </w:tc>
        <w:tc>
          <w:tcPr/>
          <w:p>
            <w:pPr>
              <w:pStyle w:val="Compact"/>
              <w:jc w:val="center"/>
            </w:pPr>
            <w:r>
              <w:t xml:space="preserve">1.55</w:t>
            </w:r>
            <w:r>
              <w:rPr>
                <w:vertAlign w:val="superscript"/>
              </w:rPr>
              <w:t xml:space="preserve">12</w:t>
            </w:r>
          </w:p>
        </w:tc>
        <w:tc>
          <w:tcPr/>
          <w:p>
            <w:pPr>
              <w:pStyle w:val="Compact"/>
              <w:jc w:val="center"/>
            </w:pPr>
            <w:r>
              <w:t xml:space="preserve">1.55</w:t>
            </w:r>
            <w:r>
              <w:rPr>
                <w:vertAlign w:val="superscript"/>
              </w:rP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rPr>
                <w:vertAlign w:val="superscript"/>
              </w:rPr>
              <w:t xml:space="preserve">14</w:t>
            </w:r>
          </w:p>
        </w:tc>
        <w:tc>
          <w:tcPr/>
          <w:p>
            <w:pPr>
              <w:pStyle w:val="Compact"/>
              <w:jc w:val="center"/>
            </w:pPr>
            <w:r>
              <w:t xml:space="preserve">1.6 (25%)</w:t>
            </w:r>
            <w:r>
              <w:rPr>
                <w:vertAlign w:val="superscript"/>
              </w:rPr>
              <w:t xml:space="preserve">13,14</w:t>
            </w:r>
          </w:p>
        </w:tc>
        <w:tc>
          <w:tcPr/>
          <w:p>
            <w:pPr>
              <w:pStyle w:val="Compact"/>
              <w:jc w:val="center"/>
            </w:pPr>
            <w:r>
              <w:t xml:space="preserve">1.6 (30%)</w:t>
            </w:r>
            <w:r>
              <w:rPr>
                <w:vertAlign w:val="superscript"/>
              </w:rP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rPr>
                <w:vertAlign w:val="superscript"/>
              </w:rPr>
              <w:t xml:space="preserve">14</w:t>
            </w:r>
          </w:p>
        </w:tc>
        <w:tc>
          <w:tcPr/>
          <w:p>
            <w:pPr>
              <w:pStyle w:val="Compact"/>
              <w:jc w:val="center"/>
            </w:pPr>
            <w:r>
              <w:t xml:space="preserve">1.4 (25%)</w:t>
            </w:r>
            <w:r>
              <w:rPr>
                <w:vertAlign w:val="superscript"/>
              </w:rPr>
              <w:t xml:space="preserve">14</w:t>
            </w:r>
          </w:p>
        </w:tc>
        <w:tc>
          <w:tcPr/>
          <w:p>
            <w:pPr>
              <w:pStyle w:val="Compact"/>
              <w:jc w:val="center"/>
            </w:pPr>
            <w:r>
              <w:t xml:space="preserve">1.8 (30%)</w:t>
            </w:r>
            <w:r>
              <w:rPr>
                <w:vertAlign w:val="superscript"/>
              </w:rP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rPr>
                <w:vertAlign w:val="superscript"/>
              </w:rPr>
              <w:t xml:space="preserve">20</w:t>
            </w:r>
          </w:p>
        </w:tc>
      </w:tr>
    </w:tbl>
    <w:bookmarkEnd w:id="27"/>
    <w:bookmarkStart w:id="81" w:name="compounds"/>
    <w:p>
      <w:pPr>
        <w:pStyle w:val="Heading1"/>
      </w:pPr>
      <w:r>
        <w:t xml:space="preserve">Compounds</w:t>
      </w:r>
      <w:r>
        <w:t xml:space="preserve"> </w:t>
      </w:r>
      <w:bookmarkStart w:id="compounds" w:name="compounds"/>
      <w:bookmarkEnd w:id="compounds"/>
    </w:p>
    <w:p>
      <w:pPr>
        <w:pStyle w:val="FirstParagraph"/>
      </w:pPr>
      <w:r>
        <w:t xml:space="preserve">The method to generate virtual populations with CKD was qualified by testing its predictive performance when used in combination with PBPK models for healthy subjects in order to predict the pharmacokinetics of drugs in patients with CKD from literature.</w:t>
      </w:r>
    </w:p>
    <w:p>
      <w:pPr>
        <w:pStyle w:val="BodyText"/>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CKD.</w:t>
      </w:r>
    </w:p>
    <w:bookmarkStart w:id="39" w:name="gabapentin"/>
    <w:p>
      <w:pPr>
        <w:pStyle w:val="Heading2"/>
      </w:pPr>
      <w:r>
        <w:t xml:space="preserve">Gabapentin</w:t>
      </w:r>
      <w:r>
        <w:t xml:space="preserve"> </w:t>
      </w:r>
      <w:bookmarkStart w:id="gabapentin" w:name="gabapentin"/>
      <w:bookmarkEnd w:id="gabapentin"/>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BodyText"/>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rPr>
          <w:vertAlign w:val="superscript"/>
        </w:rPr>
        <w:t xml:space="preserve">21</w:t>
      </w:r>
      <w:r>
        <w:t xml:space="preserve"> </w:t>
      </w:r>
      <w:r>
        <w:t xml:space="preserve">The absolute bioavailability of the lowest dose of gabapentin tested (100 mg Q8h) was 80%.</w:t>
      </w:r>
      <w:r>
        <w:rPr>
          <w:vertAlign w:val="superscript"/>
        </w:rPr>
        <w:t xml:space="preserve">22</w:t>
      </w:r>
    </w:p>
    <w:p>
      <w:pPr>
        <w:pStyle w:val="BodyText"/>
      </w:pPr>
      <w:r>
        <w:t xml:space="preserve">Gabapentin is not metabolized and completely renally cleared as unchanged drug by glomerular filtration at the maximal rate.</w:t>
      </w:r>
      <w:r>
        <w:rPr>
          <w:vertAlign w:val="superscript"/>
        </w:rPr>
        <w:t xml:space="preserve">23</w:t>
      </w:r>
      <w:r>
        <w:t xml:space="preserve"> </w:t>
      </w:r>
      <w:r>
        <w:t xml:space="preserve">While gabapentin is a substrate of the OCT2 influx transporter in kidney, co-administration in humans with the OCT2 inhibitor cimetidine only reduced oral clearance of gabapentin by 14%.</w:t>
      </w:r>
      <w:r>
        <w:rPr>
          <w:vertAlign w:val="superscript"/>
        </w:rP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rPr>
          <w:vertAlign w:val="superscript"/>
        </w:rPr>
        <w:t xml:space="preserve">21</w:t>
      </w:r>
      <w:r>
        <w:t xml:space="preserve"> </w:t>
      </w:r>
      <w:r>
        <w:t xml:space="preserve">Additionally, it is 97% unbound in plasma.</w:t>
      </w:r>
    </w:p>
    <w:bookmarkStart w:id="31" w:name="gabapentin-in-a-healthy-population"/>
    <w:p>
      <w:pPr>
        <w:pStyle w:val="Heading3"/>
      </w:pPr>
      <w:r>
        <w:t xml:space="preserve">Gabapentin in a Healthy Population</w:t>
      </w:r>
      <w:r>
        <w:t xml:space="preserve"> </w:t>
      </w:r>
      <w:bookmarkStart w:id="gabapentin_healthy" w:name="gabapentin_healthy"/>
      <w:bookmarkEnd w:id="gabapentin_healthy"/>
    </w:p>
    <w:p>
      <w:pPr>
        <w:pStyle w:val="FirstParagraph"/>
      </w:pPr>
      <w:r>
        <w:rPr>
          <w:bCs/>
          <w:b/>
        </w:rPr>
        <w:t xml:space="preserve">Table 3-1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3-2</w:t>
      </w:r>
      <w:r>
        <w:t xml:space="preserve">.</w:t>
      </w:r>
    </w:p>
    <w:p>
      <w:pPr>
        <w:pStyle w:val="BodyText"/>
      </w:pPr>
      <w:r>
        <w:rPr>
          <w:bCs/>
          <w:b/>
        </w:rPr>
        <w:t xml:space="preserve">Table 3-1: Physicochemical properties and ADME of gabapentin for the final oral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r>
              <w:rPr>
                <w:vertAlign w:val="superscript"/>
              </w:rPr>
              <w:t xml:space="preserve">24</w:t>
            </w:r>
          </w:p>
        </w:tc>
      </w:tr>
      <w:tr>
        <w:tc>
          <w:tcPr/>
          <w:p>
            <w:pPr>
              <w:pStyle w:val="Compact"/>
              <w:jc w:val="left"/>
            </w:pPr>
            <w:r>
              <w:t xml:space="preserve">Molecular weight (MW)</w:t>
            </w:r>
          </w:p>
        </w:tc>
        <w:tc>
          <w:tcPr/>
          <w:p>
            <w:pPr>
              <w:pStyle w:val="Compact"/>
              <w:jc w:val="left"/>
            </w:pPr>
            <w:r>
              <w:t xml:space="preserve">171.20 g/mol</w:t>
            </w:r>
            <w:r>
              <w:rPr>
                <w:vertAlign w:val="superscript"/>
              </w:rPr>
              <w:t xml:space="preserve">25</w:t>
            </w:r>
          </w:p>
        </w:tc>
      </w:tr>
      <w:tr>
        <w:tc>
          <w:tcPr/>
          <w:p>
            <w:pPr>
              <w:pStyle w:val="Compact"/>
              <w:jc w:val="left"/>
            </w:pPr>
            <w:r>
              <w:t xml:space="preserve">pKa</w:t>
            </w:r>
          </w:p>
        </w:tc>
        <w:tc>
          <w:tcPr/>
          <w:p>
            <w:pPr>
              <w:pStyle w:val="Compact"/>
              <w:jc w:val="left"/>
            </w:pPr>
            <w:r>
              <w:t xml:space="preserve">3.68, 10.70</w:t>
            </w:r>
            <w:r>
              <w:rPr>
                <w:vertAlign w:val="superscript"/>
              </w:rPr>
              <w:t xml:space="preserve">26</w:t>
            </w:r>
          </w:p>
        </w:tc>
      </w:tr>
      <w:tr>
        <w:tc>
          <w:tcPr/>
          <w:p>
            <w:pPr>
              <w:pStyle w:val="Compact"/>
              <w:jc w:val="left"/>
            </w:pPr>
            <w:r>
              <w:t xml:space="preserve">Water solubility</w:t>
            </w:r>
          </w:p>
        </w:tc>
        <w:tc>
          <w:tcPr/>
          <w:p>
            <w:pPr>
              <w:pStyle w:val="Compact"/>
              <w:jc w:val="left"/>
            </w:pPr>
            <w:r>
              <w:t xml:space="preserve">100.00 mg/mL</w:t>
            </w:r>
            <w:r>
              <w:rPr>
                <w:vertAlign w:val="superscript"/>
              </w:rP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rPr>
                <w:vertAlign w:val="superscript"/>
              </w:rP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rPr>
                <w:vertAlign w:val="superscript"/>
              </w:rP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rPr>
                <w:vertAlign w:val="subscript"/>
              </w:rPr>
              <w:t xml:space="preserve">m</w:t>
            </w:r>
          </w:p>
        </w:tc>
        <w:tc>
          <w:tcPr/>
          <w:p>
            <w:pPr>
              <w:pStyle w:val="Compact"/>
              <w:jc w:val="left"/>
            </w:pPr>
            <w:r>
              <w:t xml:space="preserve">8630.97 µM</w:t>
            </w:r>
          </w:p>
        </w:tc>
      </w:tr>
      <w:tr>
        <w:tc>
          <w:tcPr/>
          <w:p>
            <w:pPr>
              <w:pStyle w:val="Compact"/>
              <w:jc w:val="left"/>
            </w:pPr>
            <w:r>
              <w:t xml:space="preserve">LAT1 V</w:t>
            </w:r>
            <w:r>
              <w:rPr>
                <w:vertAlign w:val="subscript"/>
              </w:rP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BodyText"/>
      </w:pPr>
      <w:r>
        <w:rPr>
          <w:vertAlign w:val="superscript"/>
        </w:rPr>
        <w:t xml:space="preserve">a</w:t>
      </w:r>
      <w:r>
        <w:t xml:space="preserve">T</w:t>
      </w:r>
      <w:r>
        <w:rPr>
          <w:vertAlign w:val="subscript"/>
        </w:rPr>
        <w:t xml:space="preserve">max</w:t>
      </w:r>
      <w:r>
        <w:t xml:space="preserve"> </w:t>
      </w:r>
      <w:r>
        <w:t xml:space="preserve">of solution</w:t>
      </w:r>
      <w:r>
        <w:t xml:space="preserve"> </w:t>
      </w:r>
      <w:r>
        <w:rPr>
          <w:vertAlign w:val="superscript"/>
        </w:rPr>
        <w:t xml:space="preserve">29</w:t>
      </w:r>
      <w:r>
        <w:t xml:space="preserve"> </w:t>
      </w:r>
      <w:r>
        <w:t xml:space="preserve">and tablets</w:t>
      </w:r>
      <w:r>
        <w:t xml:space="preserve"> </w:t>
      </w:r>
      <w:r>
        <w:rPr>
          <w:vertAlign w:val="superscript"/>
        </w:rPr>
        <w:t xml:space="preserve">30</w:t>
      </w:r>
      <w:r>
        <w:t xml:space="preserve"> </w:t>
      </w:r>
      <w:r>
        <w:t xml:space="preserve">equivalent; all oral formulations modeled as dissolved.</w:t>
      </w:r>
    </w:p>
    <w:p>
      <w:pPr>
        <w:pStyle w:val="BodyText"/>
      </w:pPr>
      <w:r>
        <w:t xml:space="preserve">Gabapentin was assumed to be immediately dissolved as a solution or IR formulation.</w:t>
      </w:r>
    </w:p>
    <w:p>
      <w:pPr>
        <w:pStyle w:val="BodyText"/>
      </w:pPr>
      <w:r>
        <w:t xml:space="preserve">LAT1 was added as an influx transporter and its relative expression throughout the organs of the body was defined by RT-PCR within the PK-Sim database query. Based on cell line work showing no colonic permeability, colonic LAT1 was removed.</w:t>
      </w:r>
      <w:r>
        <w:rPr>
          <w:vertAlign w:val="superscript"/>
        </w:rPr>
        <w:t xml:space="preserve">22</w:t>
      </w:r>
    </w:p>
    <w:p>
      <w:pPr>
        <w:pStyle w:val="BodyText"/>
      </w:pPr>
      <w:r>
        <w:rPr>
          <w:bCs/>
          <w:b/>
        </w:rPr>
        <w:t xml:space="preserve">Table 3-2</w:t>
      </w:r>
      <w:r>
        <w:t xml:space="preserve"> </w:t>
      </w:r>
      <w:r>
        <w:t xml:space="preserve">presents the gabapentin datasets used for building the oral model. Lipophilicity was optimized to -0.08 Log Units. Cell line K</w:t>
      </w:r>
      <w:r>
        <w:rPr>
          <w:vertAlign w:val="subscript"/>
        </w:rPr>
        <w:t xml:space="preserve">m</w:t>
      </w:r>
      <w:r>
        <w:t xml:space="preserve"> </w:t>
      </w:r>
      <w:r>
        <w:t xml:space="preserve">values of LAT1 were found in the range of 200-500 uM</w:t>
      </w:r>
      <w:r>
        <w:rPr>
          <w:vertAlign w:val="superscript"/>
        </w:rPr>
        <w:t xml:space="preserve">31</w:t>
      </w:r>
      <w:r>
        <w:t xml:space="preserve"> </w:t>
      </w:r>
      <w:r>
        <w:t xml:space="preserve">and this value was optimized in order to accurately recreate the nonlinear absorption of gabapentin. V</w:t>
      </w:r>
      <w:r>
        <w:rPr>
          <w:vertAlign w:val="subscript"/>
        </w:rPr>
        <w:t xml:space="preserve">max</w:t>
      </w:r>
      <w:r>
        <w:t xml:space="preserve"> </w:t>
      </w:r>
      <w:r>
        <w:t xml:space="preserve">was also optimized to the oral datasets.</w:t>
      </w:r>
    </w:p>
    <w:p>
      <w:pPr>
        <w:pStyle w:val="BodyText"/>
      </w:pPr>
      <w:r>
        <w:rPr>
          <w:bCs/>
          <w:b/>
        </w:rPr>
        <w:t xml:space="preserve">Table 3-2: Pharmacokinetic datasets for gabapentin oral model construction</w:t>
      </w:r>
    </w:p>
    <w:tbl>
      <w:tblPr>
        <w:tblStyle w:val="Table"/>
        <w:tblW w:type="pct" w:w="5000"/>
        <w:tblLook w:firstRow="1" w:lastRow="0" w:firstColumn="0" w:lastColumn="0" w:noHBand="0" w:noVBand="0" w:val="0020"/>
        <w:jc w:val="start"/>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Boyd 1999</w:t>
            </w:r>
            <w:r>
              <w:rPr>
                <w:vertAlign w:val="superscript"/>
              </w:rP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rPr>
                <w:vertAlign w:val="superscript"/>
              </w:rP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rPr>
                <w:vertAlign w:val="superscript"/>
              </w:rP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Gidal 1998</w:t>
            </w:r>
            <w:r>
              <w:rPr>
                <w:vertAlign w:val="superscript"/>
              </w:rP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rPr>
                <w:vertAlign w:val="superscript"/>
              </w:rPr>
              <w:t xml:space="preserve">b</w:t>
            </w:r>
          </w:p>
        </w:tc>
        <w:tc>
          <w:tcPr/>
          <w:p>
            <w:pPr>
              <w:pStyle w:val="Compact"/>
              <w:jc w:val="left"/>
            </w:pPr>
            <w:r>
              <w:t xml:space="preserve">73</w:t>
            </w:r>
            <w:r>
              <w:rPr>
                <w:vertAlign w:val="superscript"/>
              </w:rPr>
              <w:t xml:space="preserve">b</w:t>
            </w:r>
          </w:p>
        </w:tc>
      </w:tr>
      <w:tr>
        <w:tc>
          <w:tcPr/>
          <w:p>
            <w:pPr>
              <w:pStyle w:val="Compact"/>
              <w:jc w:val="left"/>
            </w:pPr>
            <w:r>
              <w:t xml:space="preserve">Tjandrawinata 2014</w:t>
            </w:r>
            <w:r>
              <w:rPr>
                <w:vertAlign w:val="superscript"/>
              </w:rP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rPr>
                <w:vertAlign w:val="superscript"/>
              </w:rPr>
              <w:t xml:space="preserve">c</w:t>
            </w:r>
          </w:p>
        </w:tc>
        <w:tc>
          <w:tcPr/>
          <w:p>
            <w:pPr>
              <w:pStyle w:val="Compact"/>
              <w:jc w:val="left"/>
            </w:pPr>
            <w:r>
              <w:t xml:space="preserve">60</w:t>
            </w:r>
            <w:r>
              <w:rPr>
                <w:vertAlign w:val="superscript"/>
              </w:rPr>
              <w:t xml:space="preserve">c</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Age and weight of subject estimated from a BMI of approximately 24.</w:t>
      </w:r>
    </w:p>
    <w:p>
      <w:pPr>
        <w:pStyle w:val="BodyText"/>
      </w:pPr>
      <w:r>
        <w:rPr>
          <w:vertAlign w:val="superscript"/>
        </w:rPr>
        <w:t xml:space="preserve">c</w:t>
      </w:r>
      <w:r>
        <w:t xml:space="preserve">Approximated based on the reported range of BMI, 18.03 – 24.99 kg/m</w:t>
      </w:r>
      <w:r>
        <w:rPr>
          <w:vertAlign w:val="superscript"/>
        </w:rPr>
        <w:t xml:space="preserve">2</w:t>
      </w:r>
      <w:r>
        <w:t xml:space="preserve">.</w:t>
      </w:r>
    </w:p>
    <w:p>
      <w:pPr>
        <w:pStyle w:val="BodyText"/>
      </w:pPr>
      <w:r>
        <w:rPr>
          <w:bCs/>
          <w:b/>
        </w:rPr>
        <w:t xml:space="preserve">Figure 3-1</w:t>
      </w:r>
      <w:r>
        <w:t xml:space="preserve"> </w:t>
      </w:r>
      <w:r>
        <w:t xml:space="preserve">demonstrates the simulated oral model PK profiles in a healthy population compared against observed Blum 1994 study data.</w:t>
      </w:r>
      <w:r>
        <w:rPr>
          <w:vertAlign w:val="superscript"/>
        </w:rPr>
        <w:t xml:space="preserve">34</w:t>
      </w:r>
    </w:p>
    <w:br w:type="page"/>
    <w:p>
      <w:pPr>
        <w:pStyle w:val="BodyText"/>
      </w:pPr>
      <w:bookmarkStart w:id="figure-3-1" w:name="figure-3-1"/>
      <w:bookmarkEnd w:id="figure-3-1"/>
    </w:p>
    <w:p>
      <w:pPr>
        <w:pStyle w:val="BodyText"/>
      </w:pPr>
      <w:r>
        <w:drawing>
          <wp:inline>
            <wp:extent cx="5969000" cy="6534065"/>
            <wp:effectExtent b="0" l="0" r="0" t="0"/>
            <wp:docPr descr="" title="" id="29" name="Picture"/>
            <a:graphic>
              <a:graphicData uri="http://schemas.openxmlformats.org/drawingml/2006/picture">
                <pic:pic>
                  <pic:nvPicPr>
                    <pic:cNvPr descr="images/003_section_Compounds/004_section_Gabapentin/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 Simulation of the pharmacokinetics of Gabapentin after a single dose of 400 mg in healthy subjects. Observed data (circles) presented from Blum.</w:t>
      </w:r>
    </w:p>
    <w:p>
      <w:pPr>
        <w:pStyle w:val="BodyText"/>
      </w:pPr>
      <w:r>
        <w:t xml:space="preserve"> </w:t>
      </w:r>
    </w:p>
    <w:bookmarkEnd w:id="31"/>
    <w:bookmarkStart w:id="38" w:name="gabapentin-in-a-ckd-population"/>
    <w:p>
      <w:pPr>
        <w:pStyle w:val="Heading3"/>
      </w:pPr>
      <w:r>
        <w:t xml:space="preserve">Gabapentin in a CKD Population</w:t>
      </w:r>
      <w:r>
        <w:t xml:space="preserve"> </w:t>
      </w:r>
      <w:bookmarkStart w:id="gabapentin_ckd" w:name="gabapentin_ckd"/>
      <w:bookmarkEnd w:id="gabapentin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 CKD was created according to the demographic parameters of the target population presented in the study of Blum 1994</w:t>
      </w:r>
      <w:r>
        <w:rPr>
          <w:vertAlign w:val="superscript"/>
        </w:rPr>
        <w:t xml:space="preserve">34</w:t>
      </w:r>
      <w:r>
        <w:t xml:space="preserve"> </w:t>
      </w:r>
      <w:r>
        <w:t xml:space="preserve">(eGFR 30-59 mL/min/1.73m</w:t>
      </w:r>
      <w:r>
        <w:rPr>
          <w:vertAlign w:val="superscript"/>
        </w:rPr>
        <w:t xml:space="preserve">2</w:t>
      </w:r>
      <w:r>
        <w:t xml:space="preserve">). Simulation of the pharmacokinetics of gabapentin after a single oral dose of 400 mg in this target population is presented in</w:t>
      </w:r>
      <w:r>
        <w:t xml:space="preserve"> </w:t>
      </w:r>
      <w:r>
        <w:rPr>
          <w:bCs/>
          <w:b/>
        </w:rPr>
        <w:t xml:space="preserve">Figure 3-2</w:t>
      </w:r>
    </w:p>
    <w:p>
      <w:pPr>
        <w:pStyle w:val="BodyText"/>
      </w:pPr>
      <w:r>
        <w:t xml:space="preserve">A population with Stage 4-5 CKD was created according to the demographic parameters of the target population presented in the study of Blum 1994</w:t>
      </w:r>
      <w:r>
        <w:rPr>
          <w:vertAlign w:val="superscript"/>
        </w:rPr>
        <w:t xml:space="preserve">34</w:t>
      </w:r>
      <w:r>
        <w:t xml:space="preserve"> </w:t>
      </w:r>
      <w:r>
        <w:t xml:space="preserve">(eGFR 1-30 mL/min/1.73m</w:t>
      </w:r>
      <w:r>
        <w:rPr>
          <w:vertAlign w:val="superscript"/>
        </w:rPr>
        <w:t xml:space="preserve">2</w:t>
      </w:r>
      <w:r>
        <w:t xml:space="preserve">). Simulation of the pharmacokinetics of gabapentin after a single oral dose of 400 mg in this target population is presented in</w:t>
      </w:r>
      <w:r>
        <w:t xml:space="preserve"> </w:t>
      </w:r>
      <w:r>
        <w:rPr>
          <w:bCs/>
          <w:b/>
        </w:rPr>
        <w:t xml:space="preserve">Figure 3-3</w:t>
      </w:r>
    </w:p>
    <w:br w:type="page"/>
    <w:p>
      <w:pPr>
        <w:pStyle w:val="BodyText"/>
      </w:pPr>
      <w:bookmarkStart w:id="figure-3-2" w:name="figure-3-2"/>
      <w:bookmarkEnd w:id="figure-3-2"/>
    </w:p>
    <w:p>
      <w:pPr>
        <w:pStyle w:val="BodyText"/>
      </w:pPr>
      <w:r>
        <w:drawing>
          <wp:inline>
            <wp:extent cx="5969000" cy="6534065"/>
            <wp:effectExtent b="0" l="0" r="0" t="0"/>
            <wp:docPr descr="" title="" id="33" name="Picture"/>
            <a:graphic>
              <a:graphicData uri="http://schemas.openxmlformats.org/drawingml/2006/picture">
                <pic:pic>
                  <pic:nvPicPr>
                    <pic:cNvPr descr="images/003_section_Compounds/004_section_Gabapentin/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3-2: Simulation of the pharmacokinetics of Gabapentin after a single dose of 400 mg in subjects with CKD. Observed data (circles) presented from Blum.</w:t>
      </w:r>
    </w:p>
    <w:p>
      <w:pPr>
        <w:pStyle w:val="BodyText"/>
      </w:pPr>
      <w:r>
        <w:t xml:space="preserve"> </w:t>
      </w:r>
    </w:p>
    <w:br w:type="page"/>
    <w:p>
      <w:pPr>
        <w:pStyle w:val="BodyText"/>
      </w:pPr>
      <w:bookmarkStart w:id="figure-3-3" w:name="figure-3-3"/>
      <w:bookmarkEnd w:id="figure-3-3"/>
    </w:p>
    <w:p>
      <w:pPr>
        <w:pStyle w:val="BodyText"/>
      </w:pPr>
      <w:r>
        <w:drawing>
          <wp:inline>
            <wp:extent cx="5969000" cy="6534065"/>
            <wp:effectExtent b="0" l="0" r="0" t="0"/>
            <wp:docPr descr="" title="" id="36" name="Picture"/>
            <a:graphic>
              <a:graphicData uri="http://schemas.openxmlformats.org/drawingml/2006/picture">
                <pic:pic>
                  <pic:nvPicPr>
                    <pic:cNvPr descr="images/003_section_Compounds/004_section_Gabapentin/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3-3: Simulation of the pharmacokinetics of Gabapentin after a single dose of 400 mg in subjects with CKD. Observed data (circles) presented from Blum.</w:t>
      </w:r>
    </w:p>
    <w:p>
      <w:pPr>
        <w:pStyle w:val="BodyText"/>
      </w:pPr>
      <w:r>
        <w:t xml:space="preserve"> </w:t>
      </w:r>
    </w:p>
    <w:bookmarkEnd w:id="38"/>
    <w:bookmarkEnd w:id="39"/>
    <w:bookmarkStart w:id="48" w:name="acebutolol"/>
    <w:p>
      <w:pPr>
        <w:pStyle w:val="Heading2"/>
      </w:pPr>
      <w:r>
        <w:t xml:space="preserve">Acebutolol</w:t>
      </w:r>
      <w:r>
        <w:t xml:space="preserve"> </w:t>
      </w:r>
      <w:bookmarkStart w:id="acebutolol" w:name="acebutolol"/>
      <w:bookmarkEnd w:id="acebutolol"/>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rPr>
          <w:vertAlign w:val="superscript"/>
        </w:rPr>
        <w:t xml:space="preserve">35</w:t>
      </w:r>
    </w:p>
    <w:p>
      <w:pPr>
        <w:pStyle w:val="BodyText"/>
      </w:pPr>
      <w:r>
        <w:t xml:space="preserve">Acebutolol undergoes extensive first pass metabolism in the liver by the two enzymes carboxylesterase 2 (CES2) and N-Acetyltransferase 2 (NAT2) to form the active metabolite diacetolol.</w:t>
      </w:r>
      <w:r>
        <w:rPr>
          <w:vertAlign w:val="superscript"/>
        </w:rPr>
        <w:t xml:space="preserve">36</w:t>
      </w:r>
      <w:r>
        <w:t xml:space="preserve"> </w:t>
      </w:r>
      <w:r>
        <w:t xml:space="preserve">Other metabolic pathways in the liver that are largely undefined also contribute. Approximately 35% of acebutolol is renally cleared</w:t>
      </w:r>
      <w:r>
        <w:rPr>
          <w:vertAlign w:val="superscript"/>
        </w:rPr>
        <w:t xml:space="preserve">35</w:t>
      </w:r>
      <w:r>
        <w:t xml:space="preserve"> </w:t>
      </w:r>
      <w:r>
        <w:t xml:space="preserve">and undergoes tubular secretion by the kidneys as demonstrated by a renal clearance of 167 mL/min.</w:t>
      </w:r>
      <w:r>
        <w:rPr>
          <w:vertAlign w:val="superscript"/>
        </w:rPr>
        <w:t xml:space="preserve">37</w:t>
      </w:r>
      <w:r>
        <w:t xml:space="preserve"> </w:t>
      </w:r>
      <w:r>
        <w:t xml:space="preserve">It has a fraction unbound of 0.85 to plasma proteins.</w:t>
      </w:r>
    </w:p>
    <w:bookmarkStart w:id="43" w:name="acebutolol-in-a-healthy-population"/>
    <w:p>
      <w:pPr>
        <w:pStyle w:val="Heading3"/>
      </w:pPr>
      <w:r>
        <w:t xml:space="preserve">Acebutolol in a Healthy Population</w:t>
      </w:r>
      <w:r>
        <w:t xml:space="preserve"> </w:t>
      </w:r>
      <w:bookmarkStart w:id="acebutolol_healthy" w:name="acebutolol_healthy"/>
      <w:bookmarkEnd w:id="acebutolol_healthy"/>
    </w:p>
    <w:p>
      <w:pPr>
        <w:pStyle w:val="FirstParagraph"/>
      </w:pPr>
      <w:r>
        <w:rPr>
          <w:bCs/>
          <w:b/>
        </w:rPr>
        <w:t xml:space="preserve">Table 3-3</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3-4</w:t>
      </w:r>
      <w:r>
        <w:t xml:space="preserve">.</w:t>
      </w:r>
    </w:p>
    <w:p>
      <w:pPr>
        <w:pStyle w:val="BodyText"/>
      </w:pPr>
      <w:r>
        <w:rPr>
          <w:bCs/>
          <w:b/>
        </w:rPr>
        <w:t xml:space="preserve">Table 3-3: Physicochemical properties and ADME of acebutolol for the final IV-oral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rPr>
                <w:vertAlign w:val="superscript"/>
              </w:rPr>
              <w:t xml:space="preserve">38</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0.85</w:t>
            </w:r>
            <w:r>
              <w:rPr>
                <w:vertAlign w:val="superscript"/>
              </w:rPr>
              <w:t xml:space="preserve">39</w:t>
            </w:r>
          </w:p>
        </w:tc>
      </w:tr>
      <w:tr>
        <w:tc>
          <w:tcPr/>
          <w:p>
            <w:pPr>
              <w:pStyle w:val="Compact"/>
              <w:jc w:val="left"/>
            </w:pPr>
            <w:r>
              <w:t xml:space="preserve">Molecular weight (MW)</w:t>
            </w:r>
          </w:p>
        </w:tc>
        <w:tc>
          <w:tcPr/>
          <w:p>
            <w:pPr>
              <w:pStyle w:val="Compact"/>
              <w:jc w:val="left"/>
            </w:pPr>
            <w:r>
              <w:t xml:space="preserve">336.43 g/mol</w:t>
            </w:r>
            <w:r>
              <w:rPr>
                <w:vertAlign w:val="superscript"/>
              </w:rPr>
              <w:t xml:space="preserve">39</w:t>
            </w:r>
          </w:p>
        </w:tc>
      </w:tr>
      <w:tr>
        <w:tc>
          <w:tcPr/>
          <w:p>
            <w:pPr>
              <w:pStyle w:val="Compact"/>
              <w:jc w:val="left"/>
            </w:pPr>
            <w:r>
              <w:t xml:space="preserve">pKa</w:t>
            </w:r>
          </w:p>
        </w:tc>
        <w:tc>
          <w:tcPr/>
          <w:p>
            <w:pPr>
              <w:pStyle w:val="Compact"/>
              <w:jc w:val="left"/>
            </w:pPr>
            <w:r>
              <w:t xml:space="preserve">9.40</w:t>
            </w:r>
            <w:r>
              <w:rPr>
                <w:vertAlign w:val="superscript"/>
              </w:rPr>
              <w:t xml:space="preserve">40</w:t>
            </w:r>
          </w:p>
        </w:tc>
      </w:tr>
      <w:tr>
        <w:tc>
          <w:tcPr/>
          <w:p>
            <w:pPr>
              <w:pStyle w:val="Compact"/>
              <w:jc w:val="left"/>
            </w:pPr>
            <w:r>
              <w:t xml:space="preserve">Water solubility</w:t>
            </w:r>
          </w:p>
        </w:tc>
        <w:tc>
          <w:tcPr/>
          <w:p>
            <w:pPr>
              <w:pStyle w:val="Compact"/>
              <w:jc w:val="left"/>
            </w:pPr>
            <w:r>
              <w:t xml:space="preserve">200 mg/mL</w:t>
            </w:r>
            <w:r>
              <w:rPr>
                <w:vertAlign w:val="superscript"/>
              </w:rP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rPr>
                <w:vertAlign w:val="superscript"/>
              </w:rP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rPr>
                <w:vertAlign w:val="superscript"/>
              </w:rPr>
              <w:t xml:space="preserve">46</w:t>
            </w:r>
          </w:p>
        </w:tc>
      </w:tr>
      <w:tr>
        <w:tc>
          <w:tcPr/>
          <w:p>
            <w:pPr>
              <w:pStyle w:val="Compact"/>
              <w:jc w:val="left"/>
            </w:pPr>
            <w:r>
              <w:t xml:space="preserve">OCT K</w:t>
            </w:r>
            <w:r>
              <w:rPr>
                <w:vertAlign w:val="subscript"/>
              </w:rPr>
              <w:t xml:space="preserve">m</w:t>
            </w:r>
          </w:p>
        </w:tc>
        <w:tc>
          <w:tcPr/>
          <w:p>
            <w:pPr>
              <w:pStyle w:val="Compact"/>
              <w:jc w:val="left"/>
            </w:pPr>
            <w:r>
              <w:t xml:space="preserve">100 µM</w:t>
            </w:r>
          </w:p>
        </w:tc>
      </w:tr>
      <w:tr>
        <w:tc>
          <w:tcPr/>
          <w:p>
            <w:pPr>
              <w:pStyle w:val="Compact"/>
              <w:jc w:val="left"/>
            </w:pPr>
            <w:r>
              <w:t xml:space="preserve">OCT In vitro V</w:t>
            </w:r>
            <w:r>
              <w:rPr>
                <w:vertAlign w:val="subscript"/>
              </w:rP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rPr>
                <w:vertAlign w:val="subscript"/>
              </w:rPr>
              <w:t xml:space="preserve">m</w:t>
            </w:r>
          </w:p>
        </w:tc>
        <w:tc>
          <w:tcPr/>
          <w:p>
            <w:pPr>
              <w:pStyle w:val="Compact"/>
              <w:jc w:val="left"/>
            </w:pPr>
            <w:r>
              <w:t xml:space="preserve">5000 µM</w:t>
            </w:r>
          </w:p>
        </w:tc>
      </w:tr>
      <w:tr>
        <w:tc>
          <w:tcPr/>
          <w:p>
            <w:pPr>
              <w:pStyle w:val="Compact"/>
              <w:jc w:val="left"/>
            </w:pPr>
            <w:r>
              <w:t xml:space="preserve">Intestine 1 V</w:t>
            </w:r>
            <w:r>
              <w:rPr>
                <w:vertAlign w:val="subscript"/>
              </w:rP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rPr>
                <w:vertAlign w:val="superscript"/>
              </w:rPr>
              <w:t xml:space="preserve">45</w:t>
            </w:r>
          </w:p>
        </w:tc>
      </w:tr>
      <w:tr>
        <w:tc>
          <w:tcPr/>
          <w:p>
            <w:pPr>
              <w:pStyle w:val="Compact"/>
              <w:jc w:val="left"/>
            </w:pPr>
            <w:r>
              <w:t xml:space="preserve">Intestine 2 K</w:t>
            </w:r>
            <w:r>
              <w:rPr>
                <w:vertAlign w:val="subscript"/>
              </w:rPr>
              <w:t xml:space="preserve">m</w:t>
            </w:r>
          </w:p>
        </w:tc>
        <w:tc>
          <w:tcPr/>
          <w:p>
            <w:pPr>
              <w:pStyle w:val="Compact"/>
              <w:jc w:val="left"/>
            </w:pPr>
            <w:r>
              <w:t xml:space="preserve">5000 µM</w:t>
            </w:r>
          </w:p>
        </w:tc>
      </w:tr>
      <w:tr>
        <w:tc>
          <w:tcPr/>
          <w:p>
            <w:pPr>
              <w:pStyle w:val="Compact"/>
              <w:jc w:val="left"/>
            </w:pPr>
            <w:r>
              <w:t xml:space="preserve">Intestine 2 V</w:t>
            </w:r>
            <w:r>
              <w:rPr>
                <w:vertAlign w:val="subscript"/>
              </w:rP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BodyText"/>
      </w:pPr>
      <w:r>
        <w:t xml:space="preserve">Since acebutolol is significantly metabolized by the liver, the expression of the non-specific enzyme processes, referred to as CYP throughout this report, were added with a first order intrinsic clearance process.</w:t>
      </w:r>
    </w:p>
    <w:p>
      <w:pPr>
        <w:pStyle w:val="BodyText"/>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rPr>
          <w:vertAlign w:val="subscript"/>
        </w:rPr>
        <w:t xml:space="preserve">m</w:t>
      </w:r>
      <w:r>
        <w:t xml:space="preserve"> </w:t>
      </w:r>
      <w:r>
        <w:t xml:space="preserve">of OCT was fixed at 100 µM.</w:t>
      </w:r>
    </w:p>
    <w:p>
      <w:pPr>
        <w:pStyle w:val="BodyText"/>
      </w:pPr>
      <w:r>
        <w:t xml:space="preserve">The acebutolol oral formulation was developed assuming high solubility and fast dissolution based on its hydrophilicity (see</w:t>
      </w:r>
      <w:r>
        <w:t xml:space="preserve"> </w:t>
      </w:r>
      <w:r>
        <w:rPr>
          <w:bCs/>
          <w:b/>
        </w:rPr>
        <w:t xml:space="preserve">Table 3-3</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rPr>
          <w:vertAlign w:val="subscript"/>
        </w:rPr>
        <w:t xml:space="preserve">m</w:t>
      </w:r>
      <w:r>
        <w:t xml:space="preserve"> </w:t>
      </w:r>
      <w:r>
        <w:t xml:space="preserve">was fixed at 5000 µM to allow for linear kinetics while V</w:t>
      </w:r>
      <w:r>
        <w:rPr>
          <w:vertAlign w:val="subscript"/>
        </w:rPr>
        <w:t xml:space="preserve">max</w:t>
      </w:r>
      <w:r>
        <w:t xml:space="preserve"> </w:t>
      </w:r>
      <w:r>
        <w:t xml:space="preserve">was optimized.</w:t>
      </w:r>
    </w:p>
    <w:p>
      <w:pPr>
        <w:pStyle w:val="BodyText"/>
      </w:pPr>
      <w:r>
        <w:rPr>
          <w:bCs/>
          <w:b/>
        </w:rPr>
        <w:t xml:space="preserve">Table 3-4</w:t>
      </w:r>
      <w:r>
        <w:t xml:space="preserve"> </w:t>
      </w:r>
      <w:r>
        <w:t xml:space="preserve">presents the acebutolol datasets used for building the combined IV-oral model. The optimized CYP specific clearance, OCT V</w:t>
      </w:r>
      <w:r>
        <w:rPr>
          <w:vertAlign w:val="subscript"/>
        </w:rPr>
        <w:t xml:space="preserve">max</w:t>
      </w:r>
      <w:r>
        <w:t xml:space="preserve">, Intestine 2 V</w:t>
      </w:r>
      <w:r>
        <w:rPr>
          <w:vertAlign w:val="subscript"/>
        </w:rPr>
        <w:t xml:space="preserve">max</w:t>
      </w:r>
      <w:r>
        <w:t xml:space="preserve">, and specific intestinal permeability values are presented in</w:t>
      </w:r>
      <w:r>
        <w:t xml:space="preserve"> </w:t>
      </w:r>
      <w:r>
        <w:rPr>
          <w:bCs/>
          <w:b/>
        </w:rPr>
        <w:t xml:space="preserve">Table 3-3</w:t>
      </w:r>
      <w:r>
        <w:t xml:space="preserve">.</w:t>
      </w:r>
    </w:p>
    <w:p>
      <w:pPr>
        <w:pStyle w:val="BodyText"/>
      </w:pPr>
      <w:r>
        <w:t xml:space="preserve">The estimated fraction excreted to urine of 12% approximated the observed value of 15% measured at 70 hours after oral administration.</w:t>
      </w:r>
      <w:r>
        <w:rPr>
          <w:vertAlign w:val="superscript"/>
        </w:rPr>
        <w:t xml:space="preserve">37,42,43</w:t>
      </w:r>
      <w:r>
        <w:t xml:space="preserve"> </w:t>
      </w:r>
      <w:r>
        <w:t xml:space="preserve">In contrast, the estimated fraction excreted to urine of 21% slightly underestimated the observed value of 35% measured at 48 hours after IV bolus administration.</w:t>
      </w:r>
      <w:r>
        <w:rPr>
          <w:vertAlign w:val="superscript"/>
        </w:rPr>
        <w:t xml:space="preserve">35,41</w:t>
      </w:r>
    </w:p>
    <w:p>
      <w:pPr>
        <w:pStyle w:val="BodyText"/>
      </w:pPr>
      <w:r>
        <w:rPr>
          <w:bCs/>
          <w:b/>
        </w:rPr>
        <w:t xml:space="preserve">Table 3-4: Pharmacokinetic datasets for acebutolol IV-oral model construction</w:t>
      </w:r>
    </w:p>
    <w:tbl>
      <w:tblPr>
        <w:tblStyle w:val="Table"/>
        <w:tblW w:type="pct" w:w="5000"/>
        <w:tblLook w:firstRow="1" w:lastRow="0" w:firstColumn="0" w:lastColumn="0" w:noHBand="0" w:noVBand="0" w:val="0020"/>
        <w:jc w:val="start"/>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Gulaid 1981</w:t>
            </w:r>
            <w:r>
              <w:rPr>
                <w:vertAlign w:val="superscript"/>
              </w:rP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rPr>
                <w:vertAlign w:val="superscript"/>
              </w:rPr>
              <w:t xml:space="preserve">b</w:t>
            </w:r>
          </w:p>
        </w:tc>
      </w:tr>
      <w:tr>
        <w:tc>
          <w:tcPr/>
          <w:p>
            <w:pPr>
              <w:pStyle w:val="Compact"/>
              <w:jc w:val="left"/>
            </w:pPr>
            <w:r>
              <w:t xml:space="preserve">Roux 1980</w:t>
            </w:r>
            <w:r>
              <w:rPr>
                <w:vertAlign w:val="superscript"/>
              </w:rP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rPr>
                <w:vertAlign w:val="superscript"/>
              </w:rP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rPr>
                <w:vertAlign w:val="superscript"/>
              </w:rP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rPr>
                <w:vertAlign w:val="superscript"/>
              </w:rP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Average weight not reported in study. Estimated based on an average BMI of 22 kg/m</w:t>
      </w:r>
      <w:r>
        <w:rPr>
          <w:vertAlign w:val="superscript"/>
        </w:rPr>
        <w:t xml:space="preserve">2</w:t>
      </w:r>
      <w:r>
        <w:t xml:space="preserve">.</w:t>
      </w:r>
    </w:p>
    <w:p>
      <w:pPr>
        <w:pStyle w:val="BodyText"/>
      </w:pPr>
      <w:r>
        <w:rPr>
          <w:bCs/>
          <w:b/>
        </w:rPr>
        <w:t xml:space="preserve">Figure 3-4</w:t>
      </w:r>
      <w:r>
        <w:t xml:space="preserve"> </w:t>
      </w:r>
      <w:r>
        <w:t xml:space="preserve">shows the simulated oral model PK profiles in a healthy population compared against observed Roux 1980 study data.</w:t>
      </w:r>
      <w:r>
        <w:rPr>
          <w:vertAlign w:val="superscript"/>
        </w:rPr>
        <w:t xml:space="preserve">37</w:t>
      </w:r>
    </w:p>
    <w:br w:type="page"/>
    <w:p>
      <w:pPr>
        <w:pStyle w:val="BodyText"/>
      </w:pPr>
      <w:bookmarkStart w:id="figure-3-4" w:name="figure-3-4"/>
      <w:bookmarkEnd w:id="figure-3-4"/>
    </w:p>
    <w:p>
      <w:pPr>
        <w:pStyle w:val="BodyText"/>
      </w:pPr>
      <w:r>
        <w:drawing>
          <wp:inline>
            <wp:extent cx="5969000" cy="6657424"/>
            <wp:effectExtent b="0" l="0" r="0" t="0"/>
            <wp:docPr descr="" title="" id="41" name="Picture"/>
            <a:graphic>
              <a:graphicData uri="http://schemas.openxmlformats.org/drawingml/2006/picture">
                <pic:pic>
                  <pic:nvPicPr>
                    <pic:cNvPr descr="images/003_section_Compounds/007_section_Acebutolol/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3-4: Simulation of the pharmacokinetics of Acebutolol after a single dose of 200 mg in healthy subjects. Observed data (circles) presented from Roux.</w:t>
      </w:r>
    </w:p>
    <w:p>
      <w:pPr>
        <w:pStyle w:val="BodyText"/>
      </w:pPr>
      <w:r>
        <w:t xml:space="preserve"> </w:t>
      </w:r>
    </w:p>
    <w:bookmarkEnd w:id="43"/>
    <w:bookmarkStart w:id="47" w:name="acebutolol-in-a-ckd-population"/>
    <w:p>
      <w:pPr>
        <w:pStyle w:val="Heading3"/>
      </w:pPr>
      <w:r>
        <w:t xml:space="preserve">Acebutolol in a CKD Population</w:t>
      </w:r>
      <w:r>
        <w:t xml:space="preserve"> </w:t>
      </w:r>
      <w:bookmarkStart w:id="acebutolol_ckd" w:name="acebutolol_ckd"/>
      <w:bookmarkEnd w:id="acebutolol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3-5 CKD was created according to the demographic parameters of the target population presented in the study of Roux 1980 (eGFR 6-56 mL/min/1.73m</w:t>
      </w:r>
      <w:r>
        <w:rPr>
          <w:vertAlign w:val="superscript"/>
        </w:rPr>
        <w:t xml:space="preserve">2</w:t>
      </w:r>
      <w:r>
        <w:t xml:space="preserve">). Simulation of the pharmacokinetics of acebutolol after a single oral dose of 200 mg in this target population is presented in</w:t>
      </w:r>
      <w:r>
        <w:t xml:space="preserve"> </w:t>
      </w:r>
      <w:r>
        <w:rPr>
          <w:bCs/>
          <w:b/>
        </w:rPr>
        <w:t xml:space="preserve">Figure 3-5</w:t>
      </w:r>
    </w:p>
    <w:br w:type="page"/>
    <w:p>
      <w:pPr>
        <w:pStyle w:val="BodyText"/>
      </w:pPr>
      <w:bookmarkStart w:id="figure-3-5" w:name="figure-3-5"/>
      <w:bookmarkEnd w:id="figure-3-5"/>
    </w:p>
    <w:p>
      <w:pPr>
        <w:pStyle w:val="BodyText"/>
      </w:pPr>
      <w:r>
        <w:drawing>
          <wp:inline>
            <wp:extent cx="5969000" cy="6657424"/>
            <wp:effectExtent b="0" l="0" r="0" t="0"/>
            <wp:docPr descr="" title="" id="45" name="Picture"/>
            <a:graphic>
              <a:graphicData uri="http://schemas.openxmlformats.org/drawingml/2006/picture">
                <pic:pic>
                  <pic:nvPicPr>
                    <pic:cNvPr descr="images/003_section_Compounds/007_section_Acebutolol/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3-5: Simulation of the pharmacokinetics of Acebutolol after a single dose of 200 mg in subjects with CKD. Observed data (circles) presented from Roux.</w:t>
      </w:r>
    </w:p>
    <w:p>
      <w:pPr>
        <w:pStyle w:val="BodyText"/>
      </w:pPr>
      <w:r>
        <w:t xml:space="preserve"> </w:t>
      </w:r>
    </w:p>
    <w:bookmarkEnd w:id="47"/>
    <w:bookmarkEnd w:id="48"/>
    <w:bookmarkStart w:id="80" w:name="atenolol"/>
    <w:p>
      <w:pPr>
        <w:pStyle w:val="Heading2"/>
      </w:pPr>
      <w:r>
        <w:t xml:space="preserve">Atenolol</w:t>
      </w:r>
      <w:r>
        <w:t xml:space="preserve"> </w:t>
      </w:r>
      <w:bookmarkStart w:id="atenolol" w:name="atenolol"/>
      <w:bookmarkEnd w:id="atenolol"/>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rPr>
          <w:vertAlign w:val="superscript"/>
        </w:rPr>
        <w:t xml:space="preserve">47</w:t>
      </w:r>
      <w:r>
        <w:t xml:space="preserve"> </w:t>
      </w:r>
      <w:r>
        <w:t xml:space="preserve">The elimination half-life of atenolol from plasma is 6-7 hours in healthy adults.</w:t>
      </w:r>
    </w:p>
    <w:p>
      <w:pPr>
        <w:pStyle w:val="BodyText"/>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rPr>
          <w:vertAlign w:val="superscript"/>
        </w:rPr>
        <w:t xml:space="preserve">48</w:t>
      </w:r>
      <w:r>
        <w:t xml:space="preserve"> </w:t>
      </w:r>
      <w:r>
        <w:t xml:space="preserve">Following oral administration, 50-60% of the dose is recovered in urine.</w:t>
      </w:r>
      <w:r>
        <w:rPr>
          <w:vertAlign w:val="superscript"/>
        </w:rPr>
        <w:t xml:space="preserve">48</w:t>
      </w:r>
      <w:r>
        <w:t xml:space="preserve"> </w:t>
      </w:r>
      <w:r>
        <w:t xml:space="preserve">These findings suggested that atenolol is not fully absorbed in the gastrointestinal tract and has a bioavailability of approximately 50%.</w:t>
      </w:r>
      <w:r>
        <w:rPr>
          <w:vertAlign w:val="superscript"/>
        </w:rPr>
        <w:t xml:space="preserve">48</w:t>
      </w:r>
    </w:p>
    <w:p>
      <w:pPr>
        <w:pStyle w:val="BodyText"/>
      </w:pPr>
      <w:r>
        <w:t xml:space="preserve">Atenolol is a substrate of the organic cation transporter 2 (OCT2/SLC22A2) on the basolateral side of renal tubular epithelial cells and is a substrate for the multidrug and toxic compound extrusion proteins (MATE1, MATE2/2-K) on the apical side.</w:t>
      </w:r>
      <w:r>
        <w:rPr>
          <w:vertAlign w:val="superscript"/>
        </w:rPr>
        <w:t xml:space="preserve">49</w:t>
      </w:r>
    </w:p>
    <w:bookmarkStart w:id="60" w:name="atenolol-in-a-healthy-population"/>
    <w:p>
      <w:pPr>
        <w:pStyle w:val="Heading3"/>
      </w:pPr>
      <w:r>
        <w:t xml:space="preserve">Atenolol in a Healthy Population</w:t>
      </w:r>
      <w:r>
        <w:t xml:space="preserve"> </w:t>
      </w:r>
      <w:bookmarkStart w:id="atenolol_healthy" w:name="atenolol_healthy"/>
      <w:bookmarkEnd w:id="atenolol_healthy"/>
    </w:p>
    <w:p>
      <w:pPr>
        <w:pStyle w:val="FirstParagraph"/>
      </w:pPr>
      <w:r>
        <w:rPr>
          <w:bCs/>
          <w:b/>
        </w:rPr>
        <w:t xml:space="preserve">Table 3-5</w:t>
      </w:r>
      <w:r>
        <w:t xml:space="preserve"> </w:t>
      </w:r>
      <w:r>
        <w:t xml:space="preserve">and</w:t>
      </w:r>
      <w:r>
        <w:t xml:space="preserve"> </w:t>
      </w:r>
      <w:r>
        <w:rPr>
          <w:bCs/>
          <w:b/>
        </w:rPr>
        <w:t xml:space="preserve">Table 3-7</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3-6</w:t>
      </w:r>
      <w:r>
        <w:t xml:space="preserve"> </w:t>
      </w:r>
      <w:r>
        <w:t xml:space="preserve">and</w:t>
      </w:r>
      <w:r>
        <w:t xml:space="preserve"> </w:t>
      </w:r>
      <w:r>
        <w:rPr>
          <w:bCs/>
          <w:b/>
        </w:rPr>
        <w:t xml:space="preserve">Table 3-8</w:t>
      </w:r>
      <w:r>
        <w:t xml:space="preserve">.</w:t>
      </w:r>
    </w:p>
    <w:bookmarkStart w:id="49" w:name="iv-model"/>
    <w:p>
      <w:pPr>
        <w:pStyle w:val="Heading5"/>
      </w:pPr>
      <w:r>
        <w:t xml:space="preserve">IV model</w:t>
      </w:r>
    </w:p>
    <w:p>
      <w:pPr>
        <w:pStyle w:val="FirstParagraph"/>
      </w:pPr>
      <w:r>
        <w:rPr>
          <w:bCs/>
          <w:b/>
        </w:rPr>
        <w:t xml:space="preserve">Table 3-5: Physicochemical properties and ADME of atenolol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0.89</w:t>
            </w:r>
            <w:r>
              <w:rPr>
                <w:vertAlign w:val="superscript"/>
              </w:rP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rPr>
                <w:vertAlign w:val="superscript"/>
              </w:rPr>
              <w:t xml:space="preserve">47</w:t>
            </w:r>
          </w:p>
        </w:tc>
      </w:tr>
      <w:tr>
        <w:tc>
          <w:tcPr/>
          <w:p>
            <w:pPr>
              <w:pStyle w:val="Compact"/>
              <w:jc w:val="left"/>
            </w:pPr>
            <w:r>
              <w:t xml:space="preserve">Water solubility</w:t>
            </w:r>
          </w:p>
        </w:tc>
        <w:tc>
          <w:tcPr/>
          <w:p>
            <w:pPr>
              <w:pStyle w:val="Compact"/>
              <w:jc w:val="left"/>
            </w:pPr>
            <w:r>
              <w:t xml:space="preserve">13.30 mg/mL</w:t>
            </w:r>
            <w:r>
              <w:rPr>
                <w:vertAlign w:val="superscript"/>
              </w:rP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rPr>
                <w:vertAlign w:val="superscript"/>
              </w:rP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rPr>
                <w:vertAlign w:val="superscript"/>
              </w:rPr>
              <w:t xml:space="preserve">46</w:t>
            </w:r>
          </w:p>
        </w:tc>
      </w:tr>
      <w:tr>
        <w:tc>
          <w:tcPr/>
          <w:p>
            <w:pPr>
              <w:pStyle w:val="Compact"/>
              <w:jc w:val="left"/>
            </w:pPr>
            <w:r>
              <w:t xml:space="preserve">OCT K</w:t>
            </w:r>
            <w:r>
              <w:rPr>
                <w:vertAlign w:val="subscript"/>
              </w:rPr>
              <w:t xml:space="preserve">m</w:t>
            </w:r>
          </w:p>
        </w:tc>
        <w:tc>
          <w:tcPr/>
          <w:p>
            <w:pPr>
              <w:pStyle w:val="Compact"/>
              <w:jc w:val="left"/>
            </w:pPr>
            <w:r>
              <w:t xml:space="preserve">200 µM</w:t>
            </w:r>
            <w:r>
              <w:rPr>
                <w:vertAlign w:val="superscript"/>
              </w:rPr>
              <w:t xml:space="preserve">50</w:t>
            </w:r>
          </w:p>
        </w:tc>
      </w:tr>
      <w:tr>
        <w:tc>
          <w:tcPr/>
          <w:p>
            <w:pPr>
              <w:pStyle w:val="Compact"/>
              <w:jc w:val="left"/>
            </w:pPr>
            <w:r>
              <w:t xml:space="preserve">OCT V</w:t>
            </w:r>
            <w:r>
              <w:rPr>
                <w:vertAlign w:val="subscript"/>
              </w:rP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BodyText"/>
      </w:pPr>
      <w:r>
        <w:t xml:space="preserve">Atenolol undergoes renal transportation via MATE proteins (MATE1, MATE2/2-K) and OCT proteins (OCT2/SLC22A2).</w:t>
      </w:r>
      <w:r>
        <w:rPr>
          <w:vertAlign w:val="superscript"/>
        </w:rP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rPr>
          <w:vertAlign w:val="subscript"/>
        </w:rPr>
        <w:t xml:space="preserve">m</w:t>
      </w:r>
      <w:r>
        <w:t xml:space="preserve"> </w:t>
      </w:r>
      <w:r>
        <w:t xml:space="preserve">of OCT was fixed at a high value (200 µM).</w:t>
      </w:r>
      <w:r>
        <w:rPr>
          <w:vertAlign w:val="superscript"/>
        </w:rPr>
        <w:t xml:space="preserve">50</w:t>
      </w:r>
    </w:p>
    <w:p>
      <w:pPr>
        <w:pStyle w:val="BodyText"/>
      </w:pPr>
      <w:r>
        <w:t xml:space="preserve">The PK-Sim Standard and Rodgers and Rowland methods to calculate partition coefficients were evaluated with logP and OCT V</w:t>
      </w:r>
      <w:r>
        <w:rPr>
          <w:vertAlign w:val="subscript"/>
        </w:rP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pPr>
        <w:pStyle w:val="BodyText"/>
      </w:pPr>
      <w:r>
        <w:rPr>
          <w:bCs/>
          <w:b/>
        </w:rPr>
        <w:t xml:space="preserve">Table 3-6</w:t>
      </w:r>
      <w:r>
        <w:t xml:space="preserve"> </w:t>
      </w:r>
      <w:r>
        <w:t xml:space="preserve">presents the atenolol datasets used for building the IV model. The optimized values are presented in</w:t>
      </w:r>
      <w:r>
        <w:t xml:space="preserve"> </w:t>
      </w:r>
      <w:r>
        <w:rPr>
          <w:bCs/>
          <w:b/>
        </w:rPr>
        <w:t xml:space="preserve">Table 3-5</w:t>
      </w:r>
      <w:r>
        <w:t xml:space="preserve">. A proportional error model was chosen (i.e., log scaling).</w:t>
      </w:r>
    </w:p>
    <w:p>
      <w:pPr>
        <w:pStyle w:val="BodyText"/>
      </w:pPr>
      <w:r>
        <w:rPr>
          <w:bCs/>
          <w:b/>
        </w:rPr>
        <w:t xml:space="preserve">Table 3-6: Pharmacokinetic datasets for atenolol IV model construction</w:t>
      </w:r>
    </w:p>
    <w:tbl>
      <w:tblPr>
        <w:tblStyle w:val="Table"/>
        <w:tblW w:type="pct" w:w="5000"/>
        <w:tblLook w:firstRow="1" w:lastRow="0" w:firstColumn="0" w:lastColumn="0" w:noHBand="0" w:noVBand="0" w:val="0020"/>
        <w:jc w:val="start"/>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Brown 1976</w:t>
            </w:r>
            <w:r>
              <w:rPr>
                <w:vertAlign w:val="superscript"/>
              </w:rP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rPr>
                <w:vertAlign w:val="superscript"/>
              </w:rP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rPr>
                <w:vertAlign w:val="superscript"/>
              </w:rP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rPr>
                <w:vertAlign w:val="superscript"/>
              </w:rPr>
              <w:t xml:space="preserve">b</w:t>
            </w:r>
          </w:p>
        </w:tc>
      </w:tr>
      <w:tr>
        <w:tc>
          <w:tcPr/>
          <w:p>
            <w:pPr>
              <w:pStyle w:val="Compact"/>
              <w:jc w:val="left"/>
            </w:pPr>
            <w:r>
              <w:t xml:space="preserve">Kirch 1981</w:t>
            </w:r>
            <w:r>
              <w:rPr>
                <w:vertAlign w:val="superscript"/>
              </w:rP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rPr>
                <w:vertAlign w:val="superscript"/>
              </w:rP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rPr>
                <w:vertAlign w:val="superscript"/>
              </w:rP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BodyText"/>
      </w:pPr>
      <w:r>
        <w:rPr>
          <w:vertAlign w:val="superscript"/>
        </w:rPr>
        <w:t xml:space="preserve">a</w:t>
      </w:r>
      <w:r>
        <w:t xml:space="preserve">Mean ± SD reported, or range in square brackets if SD not reported.</w:t>
      </w:r>
    </w:p>
    <w:p>
      <w:pPr>
        <w:pStyle w:val="BodyText"/>
      </w:pPr>
      <w:r>
        <w:rPr>
          <w:vertAlign w:val="superscript"/>
        </w:rPr>
        <w:t xml:space="preserve">b</w:t>
      </w:r>
      <w:r>
        <w:t xml:space="preserve">Not reported in the study. Approximated to be 74.1 kg based on cohort composition and a BMI of 24.</w:t>
      </w:r>
    </w:p>
    <w:bookmarkEnd w:id="49"/>
    <w:bookmarkStart w:id="59" w:name="oral-model"/>
    <w:p>
      <w:pPr>
        <w:pStyle w:val="Heading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3-7</w:t>
      </w:r>
      <w:r>
        <w:t xml:space="preserve">). A Weibull function was used to describe the dissolution profile.</w:t>
      </w:r>
    </w:p>
    <w:p>
      <w:pPr>
        <w:pStyle w:val="BodyText"/>
      </w:pPr>
      <w:r>
        <w:rPr>
          <w:bCs/>
          <w:b/>
        </w:rPr>
        <w:t xml:space="preserve">Table 3-7: Oral absorption parameters for the final atenolol oral model</w:t>
      </w:r>
    </w:p>
    <w:tbl>
      <w:tblPr>
        <w:tblStyle w:val="Table"/>
        <w:tblW w:type="pct" w:w="5000"/>
        <w:tblLook w:firstRow="0" w:lastRow="0" w:firstColumn="0" w:lastColumn="0" w:noHBand="0" w:noVBand="0" w:val="0000"/>
        <w:jc w:val="start"/>
      </w:tblPr>
      <w:tblGrid>
        <w:gridCol w:w="3960"/>
        <w:gridCol w:w="3960"/>
      </w:tblGrid>
      <w:tr>
        <w:tc>
          <w:tcPr/>
          <w:p>
            <w:pPr>
              <w:pStyle w:val="Compact"/>
              <w:jc w:val="left"/>
            </w:pPr>
            <w:r>
              <w:t xml:space="preserve">Dissolution half-life</w:t>
            </w:r>
          </w:p>
        </w:tc>
        <w:tc>
          <w:tcPr/>
          <w:p>
            <w:pPr>
              <w:pStyle w:val="Compact"/>
              <w:jc w:val="left"/>
            </w:pPr>
            <w:r>
              <w:t xml:space="preserve">5 minutes</w:t>
            </w:r>
            <w:r>
              <w:rPr>
                <w:vertAlign w:val="superscript"/>
              </w:rP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rPr>
                <w:vertAlign w:val="superscript"/>
              </w:rP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rPr>
                <w:vertAlign w:val="subscript"/>
              </w:rPr>
              <w:t xml:space="preserve">m</w:t>
            </w:r>
          </w:p>
        </w:tc>
        <w:tc>
          <w:tcPr/>
          <w:p>
            <w:pPr>
              <w:pStyle w:val="Compact"/>
              <w:jc w:val="left"/>
            </w:pPr>
            <w:r>
              <w:t xml:space="preserve">5000 µM</w:t>
            </w:r>
          </w:p>
        </w:tc>
      </w:tr>
      <w:tr>
        <w:tc>
          <w:tcPr/>
          <w:p>
            <w:pPr>
              <w:pStyle w:val="Compact"/>
              <w:jc w:val="left"/>
            </w:pPr>
            <w:r>
              <w:t xml:space="preserve">Intestine 1 V</w:t>
            </w:r>
            <w:r>
              <w:rPr>
                <w:vertAlign w:val="subscript"/>
              </w:rP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rPr>
                <w:vertAlign w:val="superscript"/>
              </w:rPr>
              <w:t xml:space="preserve">45</w:t>
            </w:r>
          </w:p>
        </w:tc>
      </w:tr>
      <w:tr>
        <w:tc>
          <w:tcPr/>
          <w:p>
            <w:pPr>
              <w:pStyle w:val="Compact"/>
              <w:jc w:val="left"/>
            </w:pPr>
            <w:r>
              <w:t xml:space="preserve">PMAT K</w:t>
            </w:r>
            <w:r>
              <w:rPr>
                <w:vertAlign w:val="subscript"/>
              </w:rPr>
              <w:t xml:space="preserve">m</w:t>
            </w:r>
          </w:p>
        </w:tc>
        <w:tc>
          <w:tcPr/>
          <w:p>
            <w:pPr>
              <w:pStyle w:val="Compact"/>
              <w:jc w:val="left"/>
            </w:pPr>
            <w:r>
              <w:t xml:space="preserve">5000 µM</w:t>
            </w:r>
          </w:p>
        </w:tc>
      </w:tr>
      <w:tr>
        <w:tc>
          <w:tcPr/>
          <w:p>
            <w:pPr>
              <w:pStyle w:val="Compact"/>
              <w:jc w:val="left"/>
            </w:pPr>
            <w:r>
              <w:t xml:space="preserve">PMAT V</w:t>
            </w:r>
            <w:r>
              <w:rPr>
                <w:vertAlign w:val="subscript"/>
              </w:rP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BodyText"/>
      </w:pPr>
      <w:r>
        <w:t xml:space="preserve">Atenolol is predominantly absorbed in the ileum.</w:t>
      </w:r>
      <w:r>
        <w:rPr>
          <w:vertAlign w:val="superscript"/>
        </w:rPr>
        <w:t xml:space="preserve">57-60</w:t>
      </w:r>
      <w:r>
        <w:t xml:space="preserve"> </w:t>
      </w:r>
      <w:r>
        <w:t xml:space="preserve">The transporter-mediated uptake of atenolol is likely driven by the influx Plasma Membrane Monoamine Transporter (PMAT/SLC29A4) located on the apical membrane.</w:t>
      </w:r>
      <w:r>
        <w:rPr>
          <w:vertAlign w:val="superscript"/>
        </w:rP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rPr>
          <w:vertAlign w:val="subscript"/>
        </w:rPr>
        <w:t xml:space="preserve">m</w:t>
      </w:r>
      <w:r>
        <w:t xml:space="preserve"> </w:t>
      </w:r>
      <w:r>
        <w:t xml:space="preserve">was fixed at 5000 µM to allow for linear kinetics while V</w:t>
      </w:r>
      <w:r>
        <w:rPr>
          <w:vertAlign w:val="subscript"/>
        </w:rPr>
        <w:t xml:space="preserve">max</w:t>
      </w:r>
      <w:r>
        <w:t xml:space="preserve"> </w:t>
      </w:r>
      <w:r>
        <w:t xml:space="preserve">was optimized. Optimization of PMAT V</w:t>
      </w:r>
      <w:r>
        <w:rPr>
          <w:vertAlign w:val="subscript"/>
        </w:rPr>
        <w:t xml:space="preserve">max</w:t>
      </w:r>
      <w:r>
        <w:t xml:space="preserve"> </w:t>
      </w:r>
      <w:r>
        <w:t xml:space="preserve">was carried out using a Monte Carlo approach to explore the parameter space.</w:t>
      </w:r>
    </w:p>
    <w:p>
      <w:pPr>
        <w:pStyle w:val="BodyText"/>
      </w:pPr>
      <w:r>
        <w:rPr>
          <w:bCs/>
          <w:b/>
        </w:rPr>
        <w:t xml:space="preserve">Table 3-8: Pharmacokinetic datasets for atenolol oral model construction</w:t>
      </w:r>
    </w:p>
    <w:tbl>
      <w:tblPr>
        <w:tblStyle w:val="Table"/>
        <w:tblW w:type="pct" w:w="5000"/>
        <w:tblLook w:firstRow="1" w:lastRow="0" w:firstColumn="0" w:lastColumn="0" w:noHBand="0" w:noVBand="0" w:val="0020"/>
        <w:jc w:val="start"/>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rPr>
                <w:vertAlign w:val="superscript"/>
              </w:rPr>
              <w:t xml:space="preserve">a</w:t>
            </w:r>
          </w:p>
        </w:tc>
        <w:tc>
          <w:tcPr/>
          <w:p>
            <w:pPr>
              <w:pStyle w:val="Compact"/>
              <w:jc w:val="left"/>
            </w:pPr>
            <w:r>
              <w:rPr>
                <w:bCs/>
                <w:b/>
              </w:rPr>
              <w:t xml:space="preserve">Weight (kg)</w:t>
            </w:r>
            <w:r>
              <w:rPr>
                <w:vertAlign w:val="superscript"/>
              </w:rPr>
              <w:t xml:space="preserve">a</w:t>
            </w:r>
          </w:p>
        </w:tc>
      </w:tr>
      <w:tr>
        <w:tc>
          <w:tcPr/>
          <w:p>
            <w:pPr>
              <w:pStyle w:val="Compact"/>
              <w:jc w:val="left"/>
            </w:pPr>
            <w:r>
              <w:t xml:space="preserve">Brown 1976</w:t>
            </w:r>
            <w:r>
              <w:rPr>
                <w:vertAlign w:val="superscript"/>
              </w:rP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rPr>
                <w:vertAlign w:val="superscript"/>
              </w:rP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rPr>
                <w:vertAlign w:val="superscript"/>
              </w:rP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rPr>
                <w:vertAlign w:val="superscript"/>
              </w:rP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rPr>
                <w:vertAlign w:val="superscript"/>
              </w:rP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rPr>
                <w:vertAlign w:val="superscript"/>
              </w:rP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rPr>
                <w:vertAlign w:val="superscript"/>
              </w:rP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rPr>
                <w:vertAlign w:val="superscript"/>
              </w:rPr>
              <w:t xml:space="preserve">b</w:t>
            </w:r>
          </w:p>
        </w:tc>
        <w:tc>
          <w:tcPr/>
          <w:p>
            <w:pPr>
              <w:pStyle w:val="Compact"/>
              <w:jc w:val="left"/>
            </w:pPr>
            <w:r>
              <w:t xml:space="preserve">69 ± 4</w:t>
            </w:r>
            <w:r>
              <w:rPr>
                <w:vertAlign w:val="superscript"/>
              </w:rPr>
              <w:t xml:space="preserve">c</w:t>
            </w:r>
          </w:p>
        </w:tc>
      </w:tr>
      <w:tr>
        <w:tc>
          <w:tcPr/>
          <w:p>
            <w:pPr>
              <w:pStyle w:val="Compact"/>
              <w:jc w:val="left"/>
            </w:pPr>
            <w:r>
              <w:t xml:space="preserve">Wan 1979</w:t>
            </w:r>
            <w:r>
              <w:rPr>
                <w:vertAlign w:val="superscript"/>
              </w:rP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rPr>
                <w:vertAlign w:val="superscript"/>
              </w:rP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BodyText"/>
      </w:pPr>
      <w:r>
        <w:rPr>
          <w:vertAlign w:val="superscript"/>
        </w:rPr>
        <w:t xml:space="preserve">a</w:t>
      </w:r>
      <w:r>
        <w:t xml:space="preserve">Mean ± SD reported, or range in square brackets or another noted measure if SD not reported.</w:t>
      </w:r>
    </w:p>
    <w:p>
      <w:pPr>
        <w:pStyle w:val="BodyText"/>
      </w:pPr>
      <w:r>
        <w:rPr>
          <w:vertAlign w:val="superscript"/>
        </w:rPr>
        <w:t xml:space="preserve">b</w:t>
      </w:r>
      <w:r>
        <w:t xml:space="preserve">Age not reported. Estimated to be 30 years old based on cohort composition.</w:t>
      </w:r>
    </w:p>
    <w:p>
      <w:pPr>
        <w:pStyle w:val="BodyText"/>
      </w:pPr>
      <w:r>
        <w:rPr>
          <w:vertAlign w:val="superscript"/>
        </w:rPr>
        <w:t xml:space="preserve">c</w:t>
      </w:r>
      <w:r>
        <w:t xml:space="preserve">Mean ± SE reported.</w:t>
      </w:r>
    </w:p>
    <w:p>
      <w:pPr>
        <w:pStyle w:val="BodyText"/>
      </w:pPr>
      <w:r>
        <w:rPr>
          <w:bCs/>
          <w:b/>
        </w:rPr>
        <w:t xml:space="preserve">Figures 3-6, 3-7, and 3-8</w:t>
      </w:r>
      <w:r>
        <w:t xml:space="preserve"> </w:t>
      </w:r>
      <w:r>
        <w:t xml:space="preserve">demonstrate the simulated oral model PK profiles in a population compared against observed data from Wan 1979, Kirch 1981, and Sassard 1977, respectively.</w:t>
      </w:r>
      <w:r>
        <w:rPr>
          <w:vertAlign w:val="superscript"/>
        </w:rPr>
        <w:t xml:space="preserve">53,55,65</w:t>
      </w:r>
      <w:r>
        <w:t xml:space="preserve">.</w:t>
      </w:r>
    </w:p>
    <w:br w:type="page"/>
    <w:p>
      <w:pPr>
        <w:pStyle w:val="BodyText"/>
      </w:pPr>
      <w:bookmarkStart w:id="figure-3-6" w:name="figure-3-6"/>
      <w:bookmarkEnd w:id="figure-3-6"/>
    </w:p>
    <w:p>
      <w:pPr>
        <w:pStyle w:val="BodyText"/>
      </w:pPr>
      <w:r>
        <w:drawing>
          <wp:inline>
            <wp:extent cx="5969000" cy="6534065"/>
            <wp:effectExtent b="0" l="0" r="0" t="0"/>
            <wp:docPr descr="" title="" id="51" name="Picture"/>
            <a:graphic>
              <a:graphicData uri="http://schemas.openxmlformats.org/drawingml/2006/picture">
                <pic:pic>
                  <pic:nvPicPr>
                    <pic:cNvPr descr="images/003_section_Compounds/010_section_Atenolol/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3-6: Simulation of the pharmacokinetics of Atenolol after multiple doses of 100 mg once daily in healthy subjects. Observed data (circles) presented from Kirch.</w:t>
      </w:r>
    </w:p>
    <w:p>
      <w:pPr>
        <w:pStyle w:val="BodyText"/>
      </w:pPr>
      <w:r>
        <w:t xml:space="preserve"> </w:t>
      </w:r>
    </w:p>
    <w:br w:type="page"/>
    <w:p>
      <w:pPr>
        <w:pStyle w:val="BodyText"/>
      </w:pPr>
      <w:bookmarkStart w:id="figure-3-7" w:name="figure-3-7"/>
      <w:bookmarkEnd w:id="figure-3-7"/>
    </w:p>
    <w:p>
      <w:pPr>
        <w:pStyle w:val="BodyText"/>
      </w:pPr>
      <w:r>
        <w:drawing>
          <wp:inline>
            <wp:extent cx="5969000" cy="6534065"/>
            <wp:effectExtent b="0" l="0" r="0" t="0"/>
            <wp:docPr descr="" title="" id="54" name="Picture"/>
            <a:graphic>
              <a:graphicData uri="http://schemas.openxmlformats.org/drawingml/2006/picture">
                <pic:pic>
                  <pic:nvPicPr>
                    <pic:cNvPr descr="images/003_section_Compounds/010_section_Atenolol/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3-7: Simulation of the pharmacokinetics of Atenolol after a single dose of 100 mg in healthy subjects. Observed data (circles) presented from Sassard.</w:t>
      </w:r>
    </w:p>
    <w:p>
      <w:pPr>
        <w:pStyle w:val="BodyText"/>
      </w:pPr>
      <w:r>
        <w:t xml:space="preserve"> </w:t>
      </w:r>
    </w:p>
    <w:br w:type="page"/>
    <w:p>
      <w:pPr>
        <w:pStyle w:val="BodyText"/>
      </w:pPr>
      <w:bookmarkStart w:id="figure-3-8" w:name="figure-3-8"/>
      <w:bookmarkEnd w:id="figure-3-8"/>
    </w:p>
    <w:p>
      <w:pPr>
        <w:pStyle w:val="BodyText"/>
      </w:pPr>
      <w:r>
        <w:drawing>
          <wp:inline>
            <wp:extent cx="5969000" cy="6657424"/>
            <wp:effectExtent b="0" l="0" r="0" t="0"/>
            <wp:docPr descr="" title="" id="57" name="Picture"/>
            <a:graphic>
              <a:graphicData uri="http://schemas.openxmlformats.org/drawingml/2006/picture">
                <pic:pic>
                  <pic:nvPicPr>
                    <pic:cNvPr descr="images/003_section_Compounds/010_section_Atenolol/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3-8: Simulation of the pharmacokinetics of Atenolol after a single dose of 50 mg in healthy subjects. Observed data (circles) presented from Wan.</w:t>
      </w:r>
    </w:p>
    <w:p>
      <w:pPr>
        <w:pStyle w:val="BodyText"/>
      </w:pPr>
      <w:r>
        <w:t xml:space="preserve"> </w:t>
      </w:r>
    </w:p>
    <w:bookmarkEnd w:id="59"/>
    <w:bookmarkEnd w:id="60"/>
    <w:bookmarkStart w:id="79" w:name="atenolol-in-a-ckd-population"/>
    <w:p>
      <w:pPr>
        <w:pStyle w:val="Heading3"/>
      </w:pPr>
      <w:r>
        <w:t xml:space="preserve">Atenolol in a CKD Population</w:t>
      </w:r>
      <w:r>
        <w:t xml:space="preserve"> </w:t>
      </w:r>
      <w:bookmarkStart w:id="atenolol_ckd" w:name="atenolol_ckd"/>
      <w:bookmarkEnd w:id="atenolol_ckd"/>
    </w:p>
    <w:p>
      <w:pPr>
        <w:pStyle w:val="FirstParagraph"/>
      </w:pPr>
      <w:r>
        <w:t xml:space="preserve">With the drug-specific parameters fixed, the healthy PBPK model was translated to a CKD PBPK model CKD according to the defined method.</w:t>
      </w:r>
    </w:p>
    <w:p>
      <w:pPr>
        <w:pStyle w:val="BodyText"/>
      </w:pPr>
      <w:r>
        <w:t xml:space="preserve">A population with Stage 3 CKD was created according to the demographic parameters of the target population presented in the study of Kirch 1981</w:t>
      </w:r>
      <w:r>
        <w:rPr>
          <w:vertAlign w:val="superscript"/>
        </w:rPr>
        <w:t xml:space="preserve">53</w:t>
      </w:r>
      <w:r>
        <w:t xml:space="preserve"> </w:t>
      </w:r>
      <w:r>
        <w:t xml:space="preserve">(eGFR 37-60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3-9</w:t>
      </w:r>
      <w:r>
        <w:t xml:space="preserve">.</w:t>
      </w:r>
    </w:p>
    <w:p>
      <w:pPr>
        <w:pStyle w:val="BodyText"/>
      </w:pPr>
      <w:r>
        <w:t xml:space="preserve">A population with Stage 4 CKD was created according to the demographic parameters of the target population presented in the study of Kirch 1981</w:t>
      </w:r>
      <w:r>
        <w:rPr>
          <w:vertAlign w:val="superscript"/>
        </w:rPr>
        <w:t xml:space="preserve">53</w:t>
      </w:r>
      <w:r>
        <w:t xml:space="preserve"> </w:t>
      </w:r>
      <w:r>
        <w:t xml:space="preserve">(eGFR 17-30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3-10</w:t>
      </w:r>
      <w:r>
        <w:t xml:space="preserve">.</w:t>
      </w:r>
    </w:p>
    <w:p>
      <w:pPr>
        <w:pStyle w:val="BodyText"/>
      </w:pPr>
      <w:r>
        <w:t xml:space="preserve">A population with Stage 5 CKD was created according to the demographic parameters of the target population presented in the study of Kirch 1981</w:t>
      </w:r>
      <w:r>
        <w:rPr>
          <w:vertAlign w:val="superscript"/>
        </w:rPr>
        <w:t xml:space="preserve">53</w:t>
      </w:r>
      <w:r>
        <w:t xml:space="preserve"> </w:t>
      </w:r>
      <w:r>
        <w:t xml:space="preserve">(eGFR 5-9 mL/min/1.73m</w:t>
      </w:r>
      <w:r>
        <w:rPr>
          <w:vertAlign w:val="superscript"/>
        </w:rP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3-11</w:t>
      </w:r>
      <w:r>
        <w:t xml:space="preserve">.</w:t>
      </w:r>
    </w:p>
    <w:p>
      <w:pPr>
        <w:pStyle w:val="BodyText"/>
      </w:pPr>
      <w:r>
        <w:t xml:space="preserve">A population with Stage 3 CKD was created according to the demographic parameters of the target population presented in the study of Sassard 1977</w:t>
      </w:r>
      <w:r>
        <w:rPr>
          <w:vertAlign w:val="superscript"/>
        </w:rPr>
        <w:t xml:space="preserve">65</w:t>
      </w:r>
      <w:r>
        <w:t xml:space="preserve"> </w:t>
      </w:r>
      <w:r>
        <w:t xml:space="preserve">(eGFR 46-60 mL/min/1.73m</w:t>
      </w:r>
      <w:r>
        <w:rPr>
          <w:vertAlign w:val="superscript"/>
        </w:rPr>
        <w:t xml:space="preserve">2</w:t>
      </w:r>
      <w:r>
        <w:t xml:space="preserve">). Simulation of the whole blood pharmacokinetics of atenolol after a single oral dose of 100 mg in this target population is presented in Figure</w:t>
      </w:r>
      <w:r>
        <w:t xml:space="preserve"> </w:t>
      </w:r>
      <w:r>
        <w:rPr>
          <w:bCs/>
          <w:b/>
        </w:rPr>
        <w:t xml:space="preserve">3-12</w:t>
      </w:r>
      <w:r>
        <w:t xml:space="preserve">.</w:t>
      </w:r>
    </w:p>
    <w:p>
      <w:pPr>
        <w:pStyle w:val="BodyText"/>
      </w:pPr>
      <w:r>
        <w:t xml:space="preserve">A population with Stage 4-5 CKD was created according to the demographic parameters of the target population presented in the study of Sassard 1977</w:t>
      </w:r>
      <w:r>
        <w:rPr>
          <w:vertAlign w:val="superscript"/>
        </w:rPr>
        <w:t xml:space="preserve">65</w:t>
      </w:r>
      <w:r>
        <w:t xml:space="preserve"> </w:t>
      </w:r>
      <w:r>
        <w:t xml:space="preserve">(eGFR 8-24 mL/min/1.73m</w:t>
      </w:r>
      <w:r>
        <w:rPr>
          <w:vertAlign w:val="superscript"/>
        </w:rPr>
        <w:t xml:space="preserve">2</w:t>
      </w:r>
      <w:r>
        <w:t xml:space="preserve">). Simulation of the whole blood pharmacokinetics of atenolol after a single oral dose of 100 mg in this target population is presented in Figure</w:t>
      </w:r>
      <w:r>
        <w:t xml:space="preserve"> </w:t>
      </w:r>
      <w:r>
        <w:rPr>
          <w:bCs/>
          <w:b/>
        </w:rPr>
        <w:t xml:space="preserve">3-13</w:t>
      </w:r>
      <w:r>
        <w:t xml:space="preserve">.</w:t>
      </w:r>
    </w:p>
    <w:p>
      <w:pPr>
        <w:pStyle w:val="BodyText"/>
      </w:pPr>
      <w:r>
        <w:t xml:space="preserve">A population with Stage 3-4 CKD was created according to the demographic parameters of the target population presented in the study of Wan 1979</w:t>
      </w:r>
      <w:r>
        <w:rPr>
          <w:vertAlign w:val="superscript"/>
        </w:rPr>
        <w:t xml:space="preserve">55</w:t>
      </w:r>
      <w:r>
        <w:t xml:space="preserve"> </w:t>
      </w:r>
      <w:r>
        <w:t xml:space="preserve">(eGFR 15-42 mL/min/1.73m</w:t>
      </w:r>
      <w:r>
        <w:rPr>
          <w:vertAlign w:val="superscript"/>
        </w:rPr>
        <w:t xml:space="preserve">2</w:t>
      </w:r>
      <w:r>
        <w:t xml:space="preserve">). Simulation of the pharmacokinetics of atenolol after a single oral dose of 50 mg in this target population is presented in Figure</w:t>
      </w:r>
      <w:r>
        <w:t xml:space="preserve"> </w:t>
      </w:r>
      <w:r>
        <w:rPr>
          <w:bCs/>
          <w:b/>
        </w:rPr>
        <w:t xml:space="preserve">3-14</w:t>
      </w:r>
      <w:r>
        <w:t xml:space="preserve">.</w:t>
      </w:r>
    </w:p>
    <w:br w:type="page"/>
    <w:p>
      <w:pPr>
        <w:pStyle w:val="BodyText"/>
      </w:pPr>
      <w:bookmarkStart w:id="figure-3-9" w:name="figure-3-9"/>
      <w:bookmarkEnd w:id="figure-3-9"/>
    </w:p>
    <w:p>
      <w:pPr>
        <w:pStyle w:val="BodyText"/>
      </w:pPr>
      <w:r>
        <w:drawing>
          <wp:inline>
            <wp:extent cx="5969000" cy="6534065"/>
            <wp:effectExtent b="0" l="0" r="0" t="0"/>
            <wp:docPr descr="" title="" id="62" name="Picture"/>
            <a:graphic>
              <a:graphicData uri="http://schemas.openxmlformats.org/drawingml/2006/picture">
                <pic:pic>
                  <pic:nvPicPr>
                    <pic:cNvPr descr="images/003_section_Compounds/010_section_Atenolol/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3-9: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0" w:name="figure-3-10"/>
      <w:bookmarkEnd w:id="figure-3-10"/>
    </w:p>
    <w:p>
      <w:pPr>
        <w:pStyle w:val="BodyText"/>
      </w:pPr>
      <w:r>
        <w:drawing>
          <wp:inline>
            <wp:extent cx="5969000" cy="6534065"/>
            <wp:effectExtent b="0" l="0" r="0" t="0"/>
            <wp:docPr descr="" title="" id="65" name="Picture"/>
            <a:graphic>
              <a:graphicData uri="http://schemas.openxmlformats.org/drawingml/2006/picture">
                <pic:pic>
                  <pic:nvPicPr>
                    <pic:cNvPr descr="images/003_section_Compounds/010_section_Atenolol/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3-10: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1" w:name="figure-3-11"/>
      <w:bookmarkEnd w:id="figure-3-11"/>
    </w:p>
    <w:p>
      <w:pPr>
        <w:pStyle w:val="BodyText"/>
      </w:pPr>
      <w:r>
        <w:drawing>
          <wp:inline>
            <wp:extent cx="5969000" cy="6534065"/>
            <wp:effectExtent b="0" l="0" r="0" t="0"/>
            <wp:docPr descr="" title="" id="68" name="Picture"/>
            <a:graphic>
              <a:graphicData uri="http://schemas.openxmlformats.org/drawingml/2006/picture">
                <pic:pic>
                  <pic:nvPicPr>
                    <pic:cNvPr descr="images/003_section_Compounds/010_section_Atenolol/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3-11: Simulation of the pharmacokinetics of Atenolol after multiple doses of 100 mg once daily in subjects with CKD. Observed data (circles) presented from Kirch.</w:t>
      </w:r>
    </w:p>
    <w:p>
      <w:pPr>
        <w:pStyle w:val="BodyText"/>
      </w:pPr>
      <w:r>
        <w:t xml:space="preserve"> </w:t>
      </w:r>
    </w:p>
    <w:br w:type="page"/>
    <w:p>
      <w:pPr>
        <w:pStyle w:val="BodyText"/>
      </w:pPr>
      <w:bookmarkStart w:id="figure-3-12" w:name="figure-3-12"/>
      <w:bookmarkEnd w:id="figure-3-12"/>
    </w:p>
    <w:p>
      <w:pPr>
        <w:pStyle w:val="BodyText"/>
      </w:pPr>
      <w:r>
        <w:drawing>
          <wp:inline>
            <wp:extent cx="5969000" cy="6534065"/>
            <wp:effectExtent b="0" l="0" r="0" t="0"/>
            <wp:docPr descr="" title="" id="71" name="Picture"/>
            <a:graphic>
              <a:graphicData uri="http://schemas.openxmlformats.org/drawingml/2006/picture">
                <pic:pic>
                  <pic:nvPicPr>
                    <pic:cNvPr descr="images/003_section_Compounds/010_section_Atenolol/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3-12: Simulation of the pharmacokinetics of Atenolol after a single dose of 100 mg in subjects with CKD. Observed data (circles) presented from Sassard.</w:t>
      </w:r>
    </w:p>
    <w:p>
      <w:pPr>
        <w:pStyle w:val="BodyText"/>
      </w:pPr>
      <w:r>
        <w:t xml:space="preserve"> </w:t>
      </w:r>
    </w:p>
    <w:br w:type="page"/>
    <w:p>
      <w:pPr>
        <w:pStyle w:val="BodyText"/>
      </w:pPr>
      <w:bookmarkStart w:id="figure-3-13" w:name="figure-3-13"/>
      <w:bookmarkEnd w:id="figure-3-13"/>
    </w:p>
    <w:p>
      <w:pPr>
        <w:pStyle w:val="BodyText"/>
      </w:pPr>
      <w:r>
        <w:drawing>
          <wp:inline>
            <wp:extent cx="5969000" cy="6534065"/>
            <wp:effectExtent b="0" l="0" r="0" t="0"/>
            <wp:docPr descr="" title="" id="74" name="Picture"/>
            <a:graphic>
              <a:graphicData uri="http://schemas.openxmlformats.org/drawingml/2006/picture">
                <pic:pic>
                  <pic:nvPicPr>
                    <pic:cNvPr descr="images/003_section_Compounds/010_section_Atenolol/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6534065"/>
                    </a:xfrm>
                    <a:prstGeom prst="rect">
                      <a:avLst/>
                    </a:prstGeom>
                    <a:noFill/>
                    <a:ln w="9525">
                      <a:noFill/>
                      <a:headEnd/>
                      <a:tailEnd/>
                    </a:ln>
                  </pic:spPr>
                </pic:pic>
              </a:graphicData>
            </a:graphic>
          </wp:inline>
        </w:drawing>
      </w:r>
    </w:p>
    <w:p>
      <w:pPr>
        <w:pStyle w:val="BodyText"/>
      </w:pPr>
      <w:r>
        <w:rPr>
          <w:bCs/>
          <w:b/>
        </w:rPr>
        <w:t xml:space="preserve">Figure 3-13: Simulation of the pharmacokinetics of Atenolol after a single dose of 100 mg in subjects with CKD. Observed data (circles) presented from Sassard.</w:t>
      </w:r>
    </w:p>
    <w:p>
      <w:pPr>
        <w:pStyle w:val="BodyText"/>
      </w:pPr>
      <w:r>
        <w:t xml:space="preserve"> </w:t>
      </w:r>
    </w:p>
    <w:br w:type="page"/>
    <w:p>
      <w:pPr>
        <w:pStyle w:val="BodyText"/>
      </w:pPr>
      <w:bookmarkStart w:id="figure-3-14" w:name="figure-3-14"/>
      <w:bookmarkEnd w:id="figure-3-14"/>
    </w:p>
    <w:p>
      <w:pPr>
        <w:pStyle w:val="BodyText"/>
      </w:pPr>
      <w:r>
        <w:drawing>
          <wp:inline>
            <wp:extent cx="5969000" cy="6657424"/>
            <wp:effectExtent b="0" l="0" r="0" t="0"/>
            <wp:docPr descr="" title="" id="77" name="Picture"/>
            <a:graphic>
              <a:graphicData uri="http://schemas.openxmlformats.org/drawingml/2006/picture">
                <pic:pic>
                  <pic:nvPicPr>
                    <pic:cNvPr descr="images/003_section_Compounds/010_section_Atenolol/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6657424"/>
                    </a:xfrm>
                    <a:prstGeom prst="rect">
                      <a:avLst/>
                    </a:prstGeom>
                    <a:noFill/>
                    <a:ln w="9525">
                      <a:noFill/>
                      <a:headEnd/>
                      <a:tailEnd/>
                    </a:ln>
                  </pic:spPr>
                </pic:pic>
              </a:graphicData>
            </a:graphic>
          </wp:inline>
        </w:drawing>
      </w:r>
    </w:p>
    <w:p>
      <w:pPr>
        <w:pStyle w:val="BodyText"/>
      </w:pPr>
      <w:r>
        <w:rPr>
          <w:bCs/>
          <w:b/>
        </w:rPr>
        <w:t xml:space="preserve">Figure 3-14: Simulation of the pharmacokinetics of Atenolol after a single dose of 50 mg in subjects with CKD. Observed data (circles) presented from Wan.</w:t>
      </w:r>
    </w:p>
    <w:p>
      <w:pPr>
        <w:pStyle w:val="BodyText"/>
      </w:pPr>
      <w:r>
        <w:t xml:space="preserve"> </w:t>
      </w:r>
    </w:p>
    <w:bookmarkEnd w:id="79"/>
    <w:bookmarkEnd w:id="80"/>
    <w:bookmarkEnd w:id="81"/>
    <w:bookmarkStart w:id="82" w:name="conclusion"/>
    <w:p>
      <w:pPr>
        <w:pStyle w:val="Heading1"/>
      </w:pPr>
      <w:r>
        <w:t xml:space="preserve">Conclusion</w:t>
      </w:r>
      <w:r>
        <w:t xml:space="preserve"> </w:t>
      </w:r>
      <w:bookmarkStart w:id="conclusion" w:name="conclusion"/>
      <w:bookmarkEnd w:id="conclusion"/>
    </w:p>
    <w:p>
      <w:pPr>
        <w:pStyle w:val="FirstParagraph"/>
      </w:pPr>
      <w:r>
        <w:t xml:space="preserve">Success of the virtual population with the test models for predicting drug pharmacokinetics in subjects with CKD qualifies the method to support the use of the population for PBPK-CKD modeling.</w:t>
      </w:r>
    </w:p>
    <w:p>
      <w:pPr>
        <w:pStyle w:val="BodyText"/>
      </w:pPr>
      <w:r>
        <w:t xml:space="preserve">The evaluation was performed for compounds with significant renal elimination, for compounds subject to active transport through the OCT system, and compounds with non-renal elimination pathways that are largely conserved in subjects with CKD. The population parameters are intended to account for the underlying anatomy and physiology changes that occur in subjects with varying stages of CKD. Specific parameterizations from the user may be necessary for drug-specific cases where non-renal elimination pathways are affected by the disease (e.g., a metabolic enzyme) or where a transport pathway is significantly compromised (e.g., the OAT system).</w:t>
      </w:r>
    </w:p>
    <w:bookmarkEnd w:id="82"/>
    <w:bookmarkStart w:id="83" w:name="references"/>
    <w:p>
      <w:pPr>
        <w:pStyle w:val="Heading1"/>
      </w:pPr>
      <w:r>
        <w:t xml:space="preserve">References</w:t>
      </w:r>
      <w:r>
        <w:t xml:space="preserve"> </w:t>
      </w:r>
      <w:bookmarkStart w:id="references" w:name="references"/>
      <w:bookmarkEnd w:id="references"/>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CKD Populations</dc:title>
  <dc:creator/>
  <cp:keywords/>
  <dcterms:created xsi:type="dcterms:W3CDTF">2024-01-10T11:23:37Z</dcterms:created>
  <dcterms:modified xsi:type="dcterms:W3CDTF">2024-01-10T11:23:37Z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Version2.2-OSP12.0OSP Version12.0Qualification Framework Version1.0This qualification report and the corresponding PK-Sim project file are filed at:https://github.com/Open-Systems-Pharmacology/Qualification-CKD</vt:lpwstr>
  </property>
  <property fmtid="{D5CDD505-2E9C-101B-9397-08002B2CF9AE}" pid="3" name="subtitle">
    <vt:lpwstr/>
  </property>
</Properties>
</file>